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00" w:lineRule="auto"/>
      </w:pPr>
      <w:bookmarkStart w:id="143" w:name="_GoBack"/>
      <w:bookmarkEnd w:id="143"/>
      <w:bookmarkStart w:id="0" w:name="_Toc11854268"/>
    </w:p>
    <w:p>
      <w:pPr>
        <w:spacing w:line="300" w:lineRule="auto"/>
      </w:pPr>
    </w:p>
    <w:p>
      <w:pPr>
        <w:spacing w:line="300" w:lineRule="auto"/>
        <w:jc w:val="center"/>
        <w:rPr>
          <w:rFonts w:eastAsia="黑体"/>
          <w:b/>
          <w:sz w:val="36"/>
          <w:szCs w:val="36"/>
        </w:rPr>
      </w:pPr>
      <w:r>
        <w:rPr>
          <w:rFonts w:hint="eastAsia" w:eastAsia="黑体"/>
          <w:b/>
          <w:sz w:val="36"/>
          <w:szCs w:val="36"/>
        </w:rPr>
        <w:t>广西壮族自治区工程建设地方标准</w:t>
      </w:r>
    </w:p>
    <w:p>
      <w:pPr>
        <w:spacing w:line="300" w:lineRule="auto"/>
      </w:pPr>
    </w:p>
    <w:p>
      <w:pPr>
        <w:spacing w:line="300" w:lineRule="auto"/>
        <w:jc w:val="right"/>
        <w:rPr>
          <w:rFonts w:hint="eastAsia"/>
          <w:b/>
          <w:color w:val="FF0000"/>
          <w:sz w:val="32"/>
          <w:szCs w:val="32"/>
        </w:rPr>
      </w:pPr>
      <w:r>
        <w:t xml:space="preserve">                                                     </w:t>
      </w:r>
      <w:r>
        <w:rPr>
          <w:color w:val="FF0000"/>
        </w:rPr>
        <w:t xml:space="preserve">  </w:t>
      </w:r>
      <w:r>
        <w:rPr>
          <w:b/>
          <w:color w:val="FF0000"/>
          <w:sz w:val="32"/>
          <w:szCs w:val="32"/>
        </w:rPr>
        <w:t>DB</w:t>
      </w:r>
      <w:r>
        <w:rPr>
          <w:rFonts w:hint="eastAsia"/>
          <w:b/>
          <w:color w:val="FF0000"/>
          <w:sz w:val="32"/>
          <w:szCs w:val="32"/>
        </w:rPr>
        <w:t>J/T</w:t>
      </w:r>
      <w:r>
        <w:rPr>
          <w:b/>
          <w:color w:val="FF0000"/>
          <w:sz w:val="32"/>
          <w:szCs w:val="32"/>
        </w:rPr>
        <w:t>45</w:t>
      </w:r>
      <w:r>
        <w:rPr>
          <w:rFonts w:hint="eastAsia"/>
          <w:b/>
          <w:color w:val="FF0000"/>
          <w:sz w:val="32"/>
          <w:szCs w:val="32"/>
        </w:rPr>
        <w:t xml:space="preserve"> -</w:t>
      </w:r>
      <w:r>
        <w:rPr>
          <w:b/>
          <w:color w:val="FF0000"/>
          <w:sz w:val="32"/>
          <w:szCs w:val="32"/>
        </w:rPr>
        <w:t xml:space="preserve"> XXX</w:t>
      </w:r>
      <w:r>
        <w:rPr>
          <w:rFonts w:hint="eastAsia"/>
          <w:b/>
          <w:color w:val="FF0000"/>
          <w:sz w:val="32"/>
          <w:szCs w:val="32"/>
        </w:rPr>
        <w:t xml:space="preserve"> -</w:t>
      </w:r>
      <w:r>
        <w:rPr>
          <w:b/>
          <w:color w:val="FF0000"/>
          <w:sz w:val="32"/>
          <w:szCs w:val="32"/>
        </w:rPr>
        <w:t>20</w:t>
      </w:r>
      <w:r>
        <w:rPr>
          <w:rFonts w:hint="eastAsia"/>
          <w:b/>
          <w:color w:val="FF0000"/>
          <w:sz w:val="32"/>
          <w:szCs w:val="32"/>
        </w:rPr>
        <w:t>2</w:t>
      </w:r>
      <w:r>
        <w:rPr>
          <w:b/>
          <w:color w:val="FF0000"/>
          <w:sz w:val="32"/>
          <w:szCs w:val="32"/>
        </w:rPr>
        <w:t>X</w:t>
      </w:r>
    </w:p>
    <w:p>
      <w:pPr>
        <w:ind w:right="480"/>
        <w:jc w:val="right"/>
        <w:rPr>
          <w:rFonts w:ascii="宋体" w:hAnsi="宋体"/>
          <w:b/>
          <w:color w:val="FF0000"/>
          <w:sz w:val="32"/>
          <w:szCs w:val="32"/>
        </w:rPr>
      </w:pPr>
      <w:r>
        <w:rPr>
          <w:rFonts w:hint="eastAsia" w:ascii="宋体" w:hAnsi="宋体"/>
          <w:b/>
          <w:color w:val="FF0000"/>
          <w:sz w:val="32"/>
          <w:szCs w:val="32"/>
        </w:rPr>
        <w:t>备 案 号： XXXX-202X</w:t>
      </w:r>
    </w:p>
    <w:p>
      <w:pPr>
        <w:spacing w:line="300" w:lineRule="auto"/>
        <w:rPr>
          <w:u w:val="single"/>
        </w:rPr>
      </w:pPr>
      <w:r>
        <w:rPr>
          <w:u w:val="single"/>
        </w:rPr>
        <w:t xml:space="preserve">                                                                                   </w:t>
      </w:r>
      <w:r>
        <w:rPr>
          <w:rFonts w:hint="eastAsia"/>
          <w:u w:val="single"/>
        </w:rPr>
        <w:t xml:space="preserve">       </w:t>
      </w:r>
      <w:r>
        <w:rPr>
          <w:u w:val="single"/>
        </w:rPr>
        <w:t xml:space="preserve">  </w:t>
      </w:r>
    </w:p>
    <w:p>
      <w:pPr>
        <w:spacing w:line="300" w:lineRule="auto"/>
        <w:rPr>
          <w:u w:val="single"/>
        </w:rPr>
      </w:pPr>
    </w:p>
    <w:p>
      <w:pPr>
        <w:spacing w:line="300" w:lineRule="auto"/>
        <w:rPr>
          <w:u w:val="single"/>
        </w:rPr>
      </w:pPr>
    </w:p>
    <w:p>
      <w:pPr>
        <w:spacing w:line="300" w:lineRule="auto"/>
        <w:jc w:val="center"/>
        <w:rPr>
          <w:rFonts w:hint="eastAsia"/>
          <w:b/>
          <w:sz w:val="52"/>
          <w:szCs w:val="52"/>
        </w:rPr>
      </w:pPr>
      <w:r>
        <w:rPr>
          <w:rFonts w:hint="eastAsia"/>
          <w:b/>
          <w:sz w:val="52"/>
          <w:szCs w:val="52"/>
        </w:rPr>
        <w:t>绿色建筑评价标准</w:t>
      </w:r>
    </w:p>
    <w:p>
      <w:pPr>
        <w:pStyle w:val="24"/>
        <w:framePr w:w="0" w:hRule="auto" w:wrap="auto" w:vAnchor="margin" w:hAnchor="text" w:xAlign="left" w:yAlign="inline"/>
        <w:spacing w:before="0" w:line="300" w:lineRule="auto"/>
        <w:rPr>
          <w:rFonts w:eastAsia="宋体"/>
          <w:b/>
        </w:rPr>
      </w:pPr>
      <w:r>
        <w:rPr>
          <w:rFonts w:hint="eastAsia" w:eastAsia="宋体"/>
          <w:b/>
        </w:rPr>
        <w:t>Assessment standard for green building</w:t>
      </w:r>
    </w:p>
    <w:p>
      <w:pPr>
        <w:spacing w:line="300" w:lineRule="auto"/>
        <w:jc w:val="center"/>
        <w:rPr>
          <w:rFonts w:hint="eastAsia"/>
          <w:b/>
          <w:sz w:val="36"/>
          <w:szCs w:val="36"/>
        </w:rPr>
      </w:pPr>
      <w:r>
        <w:rPr>
          <w:rFonts w:hint="eastAsia"/>
          <w:b/>
          <w:sz w:val="36"/>
          <w:szCs w:val="36"/>
        </w:rPr>
        <w:t>（修订）</w:t>
      </w:r>
    </w:p>
    <w:p>
      <w:pPr>
        <w:pStyle w:val="24"/>
        <w:framePr w:w="0" w:hRule="auto" w:wrap="auto" w:vAnchor="margin" w:hAnchor="text" w:xAlign="left" w:yAlign="inline"/>
        <w:spacing w:line="300" w:lineRule="auto"/>
        <w:rPr>
          <w:rFonts w:hint="eastAsia" w:eastAsia="宋体"/>
          <w:b/>
          <w:sz w:val="36"/>
          <w:szCs w:val="36"/>
        </w:rPr>
      </w:pPr>
      <w:r>
        <w:rPr>
          <w:rFonts w:hint="eastAsia" w:eastAsia="宋体"/>
          <w:b/>
          <w:sz w:val="36"/>
          <w:szCs w:val="36"/>
        </w:rPr>
        <w:t>（征求意见稿）</w:t>
      </w:r>
    </w:p>
    <w:p>
      <w:pPr>
        <w:pStyle w:val="24"/>
        <w:framePr w:w="0" w:hRule="auto" w:wrap="auto" w:vAnchor="margin" w:hAnchor="text" w:xAlign="left" w:yAlign="inline"/>
        <w:spacing w:line="300" w:lineRule="auto"/>
        <w:rPr>
          <w:rFonts w:hint="eastAsia" w:eastAsia="宋体"/>
        </w:rPr>
      </w:pPr>
    </w:p>
    <w:p>
      <w:pPr>
        <w:pStyle w:val="24"/>
        <w:framePr w:w="0" w:hRule="auto" w:wrap="auto" w:vAnchor="margin" w:hAnchor="text" w:xAlign="left" w:yAlign="inline"/>
        <w:spacing w:line="300" w:lineRule="auto"/>
        <w:rPr>
          <w:rFonts w:eastAsia="宋体"/>
        </w:rPr>
      </w:pPr>
    </w:p>
    <w:p>
      <w:pPr>
        <w:pStyle w:val="24"/>
        <w:framePr w:w="0" w:hRule="auto" w:wrap="auto" w:vAnchor="margin" w:hAnchor="text" w:xAlign="left" w:yAlign="inline"/>
        <w:spacing w:line="300" w:lineRule="auto"/>
        <w:rPr>
          <w:rFonts w:eastAsia="宋体"/>
        </w:rPr>
      </w:pPr>
    </w:p>
    <w:p>
      <w:pPr>
        <w:pStyle w:val="24"/>
        <w:framePr w:w="0" w:hRule="auto" w:wrap="auto" w:vAnchor="margin" w:hAnchor="text" w:xAlign="left" w:yAlign="inline"/>
        <w:spacing w:line="300" w:lineRule="auto"/>
        <w:rPr>
          <w:rFonts w:eastAsia="宋体"/>
        </w:rPr>
      </w:pPr>
    </w:p>
    <w:p>
      <w:pPr>
        <w:pStyle w:val="24"/>
        <w:framePr w:w="0" w:hRule="auto" w:wrap="auto" w:vAnchor="margin" w:hAnchor="text" w:xAlign="left" w:yAlign="inline"/>
        <w:spacing w:line="300" w:lineRule="auto"/>
        <w:rPr>
          <w:rFonts w:eastAsia="宋体"/>
        </w:rPr>
      </w:pPr>
    </w:p>
    <w:p>
      <w:pPr>
        <w:spacing w:line="300" w:lineRule="auto"/>
        <w:rPr>
          <w:b/>
          <w:sz w:val="18"/>
          <w:szCs w:val="18"/>
        </w:rPr>
      </w:pPr>
      <w:r>
        <w:rPr>
          <w:b/>
          <w:sz w:val="28"/>
          <w:szCs w:val="28"/>
        </w:rPr>
        <w:t>20</w:t>
      </w:r>
      <w:r>
        <w:rPr>
          <w:rFonts w:hint="eastAsia"/>
          <w:b/>
          <w:sz w:val="28"/>
          <w:szCs w:val="28"/>
        </w:rPr>
        <w:t>2</w:t>
      </w:r>
      <w:r>
        <w:rPr>
          <w:b/>
          <w:sz w:val="28"/>
          <w:szCs w:val="28"/>
        </w:rPr>
        <w:t xml:space="preserve">X-XX-XX    </w:t>
      </w:r>
      <w:r>
        <w:rPr>
          <w:rFonts w:hint="eastAsia"/>
          <w:b/>
          <w:sz w:val="28"/>
          <w:szCs w:val="28"/>
        </w:rPr>
        <w:t>发布</w:t>
      </w:r>
      <w:r>
        <w:rPr>
          <w:b/>
          <w:sz w:val="28"/>
          <w:szCs w:val="28"/>
        </w:rPr>
        <w:t xml:space="preserve">                  </w:t>
      </w:r>
      <w:r>
        <w:rPr>
          <w:rFonts w:hint="eastAsia"/>
          <w:b/>
          <w:sz w:val="28"/>
          <w:szCs w:val="28"/>
        </w:rPr>
        <w:t xml:space="preserve">   </w:t>
      </w:r>
      <w:r>
        <w:rPr>
          <w:b/>
          <w:sz w:val="28"/>
          <w:szCs w:val="28"/>
        </w:rPr>
        <w:t xml:space="preserve">      20</w:t>
      </w:r>
      <w:r>
        <w:rPr>
          <w:rFonts w:hint="eastAsia"/>
          <w:b/>
          <w:sz w:val="28"/>
          <w:szCs w:val="28"/>
        </w:rPr>
        <w:t>2</w:t>
      </w:r>
      <w:r>
        <w:rPr>
          <w:b/>
          <w:sz w:val="28"/>
          <w:szCs w:val="28"/>
        </w:rPr>
        <w:t xml:space="preserve">X-XX-XX   </w:t>
      </w:r>
      <w:r>
        <w:rPr>
          <w:rFonts w:hint="eastAsia"/>
          <w:b/>
          <w:sz w:val="28"/>
          <w:szCs w:val="28"/>
        </w:rPr>
        <w:t>实施</w:t>
      </w:r>
    </w:p>
    <w:p>
      <w:pPr>
        <w:spacing w:line="300" w:lineRule="auto"/>
        <w:rPr>
          <w:sz w:val="18"/>
          <w:szCs w:val="18"/>
          <w:u w:val="single"/>
        </w:rPr>
      </w:pPr>
      <w:r>
        <w:rPr>
          <w:sz w:val="18"/>
          <w:szCs w:val="18"/>
          <w:u w:val="single"/>
        </w:rPr>
        <w:t xml:space="preserve">                                                                                       </w:t>
      </w:r>
      <w:r>
        <w:rPr>
          <w:rFonts w:hint="eastAsia"/>
          <w:sz w:val="18"/>
          <w:szCs w:val="18"/>
          <w:u w:val="single"/>
        </w:rPr>
        <w:t xml:space="preserve">      </w:t>
      </w:r>
      <w:r>
        <w:rPr>
          <w:sz w:val="18"/>
          <w:szCs w:val="18"/>
          <w:u w:val="single"/>
        </w:rPr>
        <w:t xml:space="preserve">           </w:t>
      </w:r>
    </w:p>
    <w:p>
      <w:pPr>
        <w:spacing w:line="300" w:lineRule="auto"/>
        <w:jc w:val="center"/>
        <w:rPr>
          <w:rFonts w:eastAsia="黑体"/>
          <w:sz w:val="28"/>
          <w:szCs w:val="28"/>
        </w:rPr>
      </w:pPr>
      <w:r>
        <w:rPr>
          <w:rFonts w:hint="eastAsia" w:eastAsia="黑体"/>
          <w:sz w:val="32"/>
          <w:szCs w:val="28"/>
        </w:rPr>
        <w:t>广西壮族自治区住房和城乡建设厅</w:t>
      </w:r>
      <w:r>
        <w:rPr>
          <w:rFonts w:eastAsia="黑体"/>
          <w:sz w:val="32"/>
          <w:szCs w:val="28"/>
        </w:rPr>
        <w:t xml:space="preserve"> </w:t>
      </w:r>
      <w:r>
        <w:rPr>
          <w:rFonts w:eastAsia="黑体"/>
          <w:sz w:val="28"/>
          <w:szCs w:val="28"/>
        </w:rPr>
        <w:t xml:space="preserve"> </w:t>
      </w:r>
      <w:r>
        <w:rPr>
          <w:rFonts w:hint="eastAsia" w:eastAsia="黑体"/>
          <w:sz w:val="28"/>
          <w:szCs w:val="28"/>
        </w:rPr>
        <w:t xml:space="preserve">          </w:t>
      </w:r>
      <w:r>
        <w:rPr>
          <w:rFonts w:hint="eastAsia" w:eastAsia="黑体"/>
          <w:sz w:val="32"/>
          <w:szCs w:val="28"/>
        </w:rPr>
        <w:t xml:space="preserve">     发布</w:t>
      </w:r>
    </w:p>
    <w:p>
      <w:pPr>
        <w:spacing w:line="300" w:lineRule="auto"/>
        <w:jc w:val="center"/>
        <w:rPr>
          <w:sz w:val="28"/>
          <w:szCs w:val="28"/>
        </w:rPr>
      </w:pPr>
    </w:p>
    <w:p>
      <w:pPr>
        <w:spacing w:line="360" w:lineRule="auto"/>
        <w:jc w:val="center"/>
        <w:outlineLvl w:val="0"/>
        <w:rPr>
          <w:b/>
          <w:bCs/>
          <w:sz w:val="32"/>
          <w:szCs w:val="32"/>
        </w:rPr>
        <w:sectPr>
          <w:type w:val="continuous"/>
          <w:pgSz w:w="11907" w:h="16839"/>
          <w:pgMar w:top="851" w:right="907" w:bottom="851" w:left="1418" w:header="851" w:footer="851" w:gutter="0"/>
          <w:cols w:space="720" w:num="1"/>
          <w:docGrid w:type="lines" w:linePitch="312" w:charSpace="0"/>
        </w:sectPr>
      </w:pPr>
    </w:p>
    <w:p>
      <w:pPr>
        <w:spacing w:line="360" w:lineRule="auto"/>
        <w:jc w:val="center"/>
        <w:outlineLvl w:val="0"/>
        <w:rPr>
          <w:rFonts w:hint="eastAsia"/>
          <w:b/>
          <w:bCs/>
          <w:sz w:val="32"/>
          <w:szCs w:val="32"/>
        </w:rPr>
      </w:pPr>
      <w:bookmarkStart w:id="1" w:name="_Toc24542982"/>
      <w:r>
        <w:rPr>
          <w:rFonts w:hint="eastAsia"/>
          <w:b/>
          <w:bCs/>
          <w:sz w:val="32"/>
          <w:szCs w:val="32"/>
        </w:rPr>
        <w:t>前  言</w:t>
      </w:r>
      <w:bookmarkEnd w:id="1"/>
    </w:p>
    <w:p>
      <w:pPr>
        <w:spacing w:line="360" w:lineRule="auto"/>
        <w:ind w:firstLine="480" w:firstLineChars="200"/>
        <w:rPr>
          <w:rFonts w:hint="eastAsia"/>
          <w:bCs/>
          <w:sz w:val="24"/>
          <w:szCs w:val="24"/>
        </w:rPr>
      </w:pPr>
      <w:r>
        <w:rPr>
          <w:rFonts w:hint="eastAsia"/>
          <w:bCs/>
          <w:sz w:val="24"/>
          <w:szCs w:val="24"/>
        </w:rPr>
        <w:t>根据广西壮族自治区住房和城乡建设厅《自治区住房城乡建设厅关于下达2019年度全区工程建设地方标准、图集制（修）订项目计划的通知》（桂建标【2019】21号）的要求，依据国家标准《绿色建筑评价标准》GB/T 50378-2019的相关要求，结合广西地方气候、经济、文化特点，总结绿色建筑发展及实施经验，并在广泛征求意见的基础上，修订完成本标准。</w:t>
      </w:r>
    </w:p>
    <w:p>
      <w:pPr>
        <w:spacing w:line="360" w:lineRule="auto"/>
        <w:ind w:firstLine="480" w:firstLineChars="200"/>
        <w:rPr>
          <w:rFonts w:hint="eastAsia"/>
          <w:bCs/>
          <w:sz w:val="24"/>
          <w:szCs w:val="24"/>
        </w:rPr>
      </w:pPr>
      <w:r>
        <w:rPr>
          <w:rFonts w:hint="eastAsia"/>
          <w:bCs/>
          <w:sz w:val="24"/>
          <w:szCs w:val="24"/>
        </w:rPr>
        <w:t>本标准的主要技术内容是：1. 总则； 2. 术语； 3. 基本规定； 4. 安全耐久； 5. 健康舒适； 6. 生活便利； 7. 资源节约；8. 环境宜居； 9. 提高与创新。</w:t>
      </w:r>
    </w:p>
    <w:p>
      <w:pPr>
        <w:spacing w:line="360" w:lineRule="auto"/>
        <w:ind w:firstLine="480" w:firstLineChars="200"/>
        <w:rPr>
          <w:rFonts w:hint="eastAsia"/>
          <w:bCs/>
          <w:sz w:val="24"/>
          <w:szCs w:val="24"/>
        </w:rPr>
      </w:pPr>
      <w:r>
        <w:rPr>
          <w:rFonts w:hint="eastAsia"/>
          <w:bCs/>
          <w:sz w:val="24"/>
          <w:szCs w:val="24"/>
        </w:rPr>
        <w:t>本标准修订的主要技术内容是： 1. 重新构建了绿色建筑评价技术指标体系； 2. 调整了绿色建筑的评价时间节点； 3. 增加了绿色建筑等级； 4. 拓展了绿色建筑内涵； 5. 提高了绿色建筑性能要求。</w:t>
      </w:r>
    </w:p>
    <w:p>
      <w:pPr>
        <w:spacing w:line="360" w:lineRule="auto"/>
        <w:ind w:firstLine="480" w:firstLineChars="200"/>
        <w:rPr>
          <w:rFonts w:hint="eastAsia"/>
          <w:bCs/>
          <w:sz w:val="24"/>
          <w:szCs w:val="24"/>
        </w:rPr>
      </w:pPr>
      <w:r>
        <w:rPr>
          <w:rFonts w:hint="eastAsia"/>
          <w:bCs/>
          <w:sz w:val="24"/>
          <w:szCs w:val="24"/>
        </w:rPr>
        <w:t>本标准由广西壮族自治区住房和城乡建设厅负责管理，由广西壮族自治区建筑科学研究设计院负责具体技术内容的解释。执行过程中如有意见或建议，请寄送广西壮族自治区住房和城乡建设厅标准定额处（地址：南宁市金湖路58号，邮编：530028）和广西壮族自治区建筑科学研究设计院（地址：南宁市北大南路17号，邮编：530005) 。</w:t>
      </w:r>
    </w:p>
    <w:p>
      <w:pPr>
        <w:spacing w:line="360" w:lineRule="auto"/>
        <w:ind w:firstLine="480" w:firstLineChars="200"/>
        <w:rPr>
          <w:rFonts w:hint="eastAsia"/>
          <w:bCs/>
          <w:sz w:val="24"/>
          <w:szCs w:val="24"/>
        </w:rPr>
      </w:pPr>
      <w:r>
        <w:rPr>
          <w:rFonts w:hint="eastAsia"/>
          <w:bCs/>
          <w:sz w:val="24"/>
          <w:szCs w:val="24"/>
        </w:rPr>
        <w:t>本标准主编单位：广西壮族自治区建筑科学研究设计院</w:t>
      </w:r>
    </w:p>
    <w:p>
      <w:pPr>
        <w:spacing w:line="360" w:lineRule="auto"/>
        <w:ind w:firstLine="480" w:firstLineChars="200"/>
        <w:rPr>
          <w:rFonts w:hint="eastAsia"/>
          <w:bCs/>
          <w:sz w:val="24"/>
          <w:szCs w:val="24"/>
        </w:rPr>
      </w:pPr>
    </w:p>
    <w:p>
      <w:pPr>
        <w:spacing w:line="360" w:lineRule="auto"/>
        <w:ind w:firstLine="480" w:firstLineChars="200"/>
        <w:rPr>
          <w:rFonts w:hint="eastAsia"/>
          <w:bCs/>
          <w:sz w:val="24"/>
          <w:szCs w:val="24"/>
        </w:rPr>
      </w:pPr>
      <w:r>
        <w:rPr>
          <w:rFonts w:hint="eastAsia"/>
          <w:bCs/>
          <w:sz w:val="24"/>
          <w:szCs w:val="24"/>
        </w:rPr>
        <w:t xml:space="preserve">本标准参编单位： </w:t>
      </w:r>
    </w:p>
    <w:p>
      <w:pPr>
        <w:spacing w:line="360" w:lineRule="auto"/>
        <w:ind w:firstLine="480" w:firstLineChars="200"/>
        <w:rPr>
          <w:rFonts w:hint="eastAsia"/>
          <w:bCs/>
          <w:sz w:val="24"/>
          <w:szCs w:val="24"/>
        </w:rPr>
      </w:pPr>
      <w:r>
        <w:rPr>
          <w:rFonts w:hint="eastAsia"/>
          <w:bCs/>
          <w:sz w:val="24"/>
          <w:szCs w:val="24"/>
        </w:rPr>
        <w:t xml:space="preserve">本标准参加单位： </w:t>
      </w:r>
    </w:p>
    <w:p>
      <w:pPr>
        <w:spacing w:line="360" w:lineRule="auto"/>
        <w:ind w:firstLine="480" w:firstLineChars="200"/>
        <w:rPr>
          <w:rFonts w:hint="eastAsia"/>
          <w:bCs/>
          <w:sz w:val="24"/>
          <w:szCs w:val="24"/>
        </w:rPr>
      </w:pPr>
      <w:r>
        <w:rPr>
          <w:rFonts w:hint="eastAsia"/>
          <w:bCs/>
          <w:sz w:val="24"/>
          <w:szCs w:val="24"/>
        </w:rPr>
        <w:t>本标准主要起草人员：</w:t>
      </w:r>
    </w:p>
    <w:p>
      <w:pPr>
        <w:spacing w:line="360" w:lineRule="auto"/>
        <w:ind w:firstLine="480" w:firstLineChars="200"/>
        <w:rPr>
          <w:bCs/>
          <w:sz w:val="24"/>
          <w:szCs w:val="24"/>
        </w:rPr>
        <w:sectPr>
          <w:pgSz w:w="11907" w:h="16839"/>
          <w:pgMar w:top="851" w:right="907" w:bottom="851" w:left="1418" w:header="851" w:footer="851" w:gutter="0"/>
          <w:cols w:space="720" w:num="1"/>
          <w:docGrid w:type="lines" w:linePitch="312" w:charSpace="0"/>
        </w:sectPr>
      </w:pPr>
      <w:r>
        <w:rPr>
          <w:rFonts w:hint="eastAsia"/>
          <w:bCs/>
          <w:sz w:val="24"/>
          <w:szCs w:val="24"/>
        </w:rPr>
        <w:t>本标准主要审查人员：</w:t>
      </w:r>
    </w:p>
    <w:p>
      <w:pPr>
        <w:spacing w:line="360" w:lineRule="auto"/>
        <w:rPr>
          <w:rFonts w:hint="eastAsia"/>
          <w:b/>
          <w:sz w:val="32"/>
          <w:szCs w:val="32"/>
          <w:lang w:val="zh-CN"/>
        </w:rPr>
      </w:pPr>
    </w:p>
    <w:p>
      <w:pPr>
        <w:spacing w:line="360" w:lineRule="auto"/>
        <w:jc w:val="center"/>
        <w:rPr>
          <w:rFonts w:hint="eastAsia"/>
          <w:b/>
          <w:sz w:val="32"/>
          <w:szCs w:val="32"/>
          <w:lang w:val="zh-CN"/>
        </w:rPr>
      </w:pPr>
      <w:r>
        <w:rPr>
          <w:rFonts w:hint="eastAsia"/>
          <w:b/>
          <w:sz w:val="32"/>
          <w:szCs w:val="32"/>
          <w:lang w:val="zh-CN"/>
        </w:rPr>
        <w:t>目</w:t>
      </w:r>
      <w:r>
        <w:rPr>
          <w:b/>
          <w:sz w:val="32"/>
          <w:szCs w:val="32"/>
          <w:lang w:val="zh-CN"/>
        </w:rPr>
        <w:t xml:space="preserve">  </w:t>
      </w:r>
      <w:r>
        <w:rPr>
          <w:rFonts w:hint="eastAsia"/>
          <w:b/>
          <w:sz w:val="32"/>
          <w:szCs w:val="32"/>
          <w:lang w:val="zh-CN"/>
        </w:rPr>
        <w:t>次</w:t>
      </w:r>
    </w:p>
    <w:p>
      <w:pPr>
        <w:pStyle w:val="8"/>
        <w:jc w:val="both"/>
        <w:rPr>
          <w:lang/>
        </w:rPr>
      </w:pPr>
      <w:r>
        <w:rPr>
          <w:b/>
          <w:lang w:val="zh-CN"/>
        </w:rPr>
        <w:fldChar w:fldCharType="begin"/>
      </w:r>
      <w:r>
        <w:rPr>
          <w:b/>
          <w:lang w:val="zh-CN"/>
        </w:rPr>
        <w:instrText xml:space="preserve"> TOC \o "1-2" \h \z \u </w:instrText>
      </w:r>
      <w:r>
        <w:rPr>
          <w:b/>
          <w:lang w:val="zh-CN"/>
        </w:rPr>
        <w:fldChar w:fldCharType="separate"/>
      </w:r>
    </w:p>
    <w:p>
      <w:pPr>
        <w:pStyle w:val="8"/>
        <w:rPr>
          <w:lang/>
        </w:rPr>
      </w:pPr>
      <w:r>
        <w:rPr>
          <w:sz w:val="24"/>
          <w:szCs w:val="24"/>
          <w:lang/>
        </w:rPr>
        <w:fldChar w:fldCharType="begin"/>
      </w:r>
      <w:r>
        <w:rPr>
          <w:rStyle w:val="16"/>
          <w:color w:val="auto"/>
          <w:sz w:val="24"/>
          <w:szCs w:val="24"/>
          <w:lang/>
        </w:rPr>
        <w:instrText xml:space="preserve"> </w:instrText>
      </w:r>
      <w:r>
        <w:rPr>
          <w:lang/>
        </w:rPr>
        <w:instrText xml:space="preserve">HYPERLINK \l "_Toc24542983"</w:instrText>
      </w:r>
      <w:r>
        <w:rPr>
          <w:rStyle w:val="16"/>
          <w:color w:val="auto"/>
          <w:sz w:val="24"/>
          <w:szCs w:val="24"/>
          <w:lang/>
        </w:rPr>
        <w:instrText xml:space="preserve"> </w:instrText>
      </w:r>
      <w:r>
        <w:rPr>
          <w:sz w:val="24"/>
          <w:szCs w:val="24"/>
          <w:lang/>
        </w:rPr>
        <w:fldChar w:fldCharType="separate"/>
      </w:r>
      <w:r>
        <w:rPr>
          <w:rStyle w:val="16"/>
          <w:color w:val="auto"/>
          <w:sz w:val="24"/>
          <w:szCs w:val="24"/>
          <w:lang/>
        </w:rPr>
        <w:t>1</w:t>
      </w:r>
      <w:r>
        <w:rPr>
          <w:rStyle w:val="16"/>
          <w:rFonts w:hint="eastAsia"/>
          <w:color w:val="auto"/>
          <w:sz w:val="24"/>
          <w:szCs w:val="24"/>
          <w:lang/>
        </w:rPr>
        <w:t>总则</w:t>
      </w:r>
      <w:r>
        <w:rPr>
          <w:lang/>
        </w:rPr>
        <w:tab/>
      </w:r>
      <w:r>
        <w:rPr>
          <w:sz w:val="24"/>
          <w:szCs w:val="24"/>
          <w:lang/>
        </w:rPr>
        <w:fldChar w:fldCharType="begin"/>
      </w:r>
      <w:r>
        <w:rPr>
          <w:sz w:val="24"/>
          <w:szCs w:val="24"/>
          <w:lang/>
        </w:rPr>
        <w:instrText xml:space="preserve"> PAGEREF _Toc24542983 \h </w:instrText>
      </w:r>
      <w:r>
        <w:rPr>
          <w:sz w:val="24"/>
          <w:szCs w:val="24"/>
          <w:lang/>
        </w:rPr>
        <w:fldChar w:fldCharType="separate"/>
      </w:r>
      <w:r>
        <w:rPr>
          <w:sz w:val="24"/>
          <w:szCs w:val="24"/>
          <w:lang/>
        </w:rPr>
        <w:t>1</w:t>
      </w:r>
      <w:r>
        <w:rPr>
          <w:sz w:val="24"/>
          <w:szCs w:val="24"/>
          <w:lang/>
        </w:rPr>
        <w:fldChar w:fldCharType="end"/>
      </w:r>
      <w:r>
        <w:rPr>
          <w:sz w:val="24"/>
          <w:szCs w:val="24"/>
          <w:lang/>
        </w:rPr>
        <w:fldChar w:fldCharType="end"/>
      </w:r>
    </w:p>
    <w:p>
      <w:pPr>
        <w:pStyle w:val="8"/>
        <w:rPr>
          <w:lang/>
        </w:rPr>
      </w:pPr>
      <w:r>
        <w:rPr>
          <w:sz w:val="24"/>
          <w:szCs w:val="24"/>
          <w:lang/>
        </w:rPr>
        <w:fldChar w:fldCharType="begin"/>
      </w:r>
      <w:r>
        <w:rPr>
          <w:rStyle w:val="16"/>
          <w:color w:val="auto"/>
          <w:sz w:val="24"/>
          <w:szCs w:val="24"/>
          <w:lang/>
        </w:rPr>
        <w:instrText xml:space="preserve"> </w:instrText>
      </w:r>
      <w:r>
        <w:rPr>
          <w:lang/>
        </w:rPr>
        <w:instrText xml:space="preserve">HYPERLINK \l "_Toc24542984"</w:instrText>
      </w:r>
      <w:r>
        <w:rPr>
          <w:rStyle w:val="16"/>
          <w:color w:val="auto"/>
          <w:sz w:val="24"/>
          <w:szCs w:val="24"/>
          <w:lang/>
        </w:rPr>
        <w:instrText xml:space="preserve"> </w:instrText>
      </w:r>
      <w:r>
        <w:rPr>
          <w:sz w:val="24"/>
          <w:szCs w:val="24"/>
          <w:lang/>
        </w:rPr>
        <w:fldChar w:fldCharType="separate"/>
      </w:r>
      <w:r>
        <w:rPr>
          <w:rStyle w:val="16"/>
          <w:color w:val="auto"/>
          <w:sz w:val="24"/>
          <w:szCs w:val="24"/>
          <w:lang/>
        </w:rPr>
        <w:t xml:space="preserve">2 </w:t>
      </w:r>
      <w:r>
        <w:rPr>
          <w:rStyle w:val="16"/>
          <w:rFonts w:hint="eastAsia"/>
          <w:color w:val="auto"/>
          <w:sz w:val="24"/>
          <w:szCs w:val="24"/>
          <w:lang/>
        </w:rPr>
        <w:t>术语</w:t>
      </w:r>
      <w:r>
        <w:rPr>
          <w:lang/>
        </w:rPr>
        <w:tab/>
      </w:r>
      <w:r>
        <w:rPr>
          <w:sz w:val="24"/>
          <w:szCs w:val="24"/>
          <w:lang/>
        </w:rPr>
        <w:fldChar w:fldCharType="begin"/>
      </w:r>
      <w:r>
        <w:rPr>
          <w:sz w:val="24"/>
          <w:szCs w:val="24"/>
          <w:lang/>
        </w:rPr>
        <w:instrText xml:space="preserve"> PAGEREF _Toc24542984 \h </w:instrText>
      </w:r>
      <w:r>
        <w:rPr>
          <w:sz w:val="24"/>
          <w:szCs w:val="24"/>
          <w:lang/>
        </w:rPr>
        <w:fldChar w:fldCharType="separate"/>
      </w:r>
      <w:r>
        <w:rPr>
          <w:sz w:val="24"/>
          <w:szCs w:val="24"/>
          <w:lang/>
        </w:rPr>
        <w:t>2</w:t>
      </w:r>
      <w:r>
        <w:rPr>
          <w:sz w:val="24"/>
          <w:szCs w:val="24"/>
          <w:lang/>
        </w:rPr>
        <w:fldChar w:fldCharType="end"/>
      </w:r>
      <w:r>
        <w:rPr>
          <w:sz w:val="24"/>
          <w:szCs w:val="24"/>
          <w:lang/>
        </w:rPr>
        <w:fldChar w:fldCharType="end"/>
      </w:r>
    </w:p>
    <w:p>
      <w:pPr>
        <w:pStyle w:val="8"/>
        <w:rPr>
          <w:lang/>
        </w:rPr>
      </w:pPr>
      <w:r>
        <w:rPr>
          <w:sz w:val="24"/>
          <w:szCs w:val="24"/>
          <w:lang/>
        </w:rPr>
        <w:fldChar w:fldCharType="begin"/>
      </w:r>
      <w:r>
        <w:rPr>
          <w:rStyle w:val="16"/>
          <w:color w:val="auto"/>
          <w:sz w:val="24"/>
          <w:szCs w:val="24"/>
          <w:lang/>
        </w:rPr>
        <w:instrText xml:space="preserve"> </w:instrText>
      </w:r>
      <w:r>
        <w:rPr>
          <w:lang/>
        </w:rPr>
        <w:instrText xml:space="preserve">HYPERLINK \l "_Toc24542985"</w:instrText>
      </w:r>
      <w:r>
        <w:rPr>
          <w:rStyle w:val="16"/>
          <w:color w:val="auto"/>
          <w:sz w:val="24"/>
          <w:szCs w:val="24"/>
          <w:lang/>
        </w:rPr>
        <w:instrText xml:space="preserve"> </w:instrText>
      </w:r>
      <w:r>
        <w:rPr>
          <w:sz w:val="24"/>
          <w:szCs w:val="24"/>
          <w:lang/>
        </w:rPr>
        <w:fldChar w:fldCharType="separate"/>
      </w:r>
      <w:r>
        <w:rPr>
          <w:rStyle w:val="16"/>
          <w:color w:val="auto"/>
          <w:sz w:val="24"/>
          <w:szCs w:val="24"/>
          <w:lang/>
        </w:rPr>
        <w:t xml:space="preserve">3 </w:t>
      </w:r>
      <w:r>
        <w:rPr>
          <w:rStyle w:val="16"/>
          <w:rFonts w:hint="eastAsia"/>
          <w:color w:val="auto"/>
          <w:sz w:val="24"/>
          <w:szCs w:val="24"/>
          <w:lang/>
        </w:rPr>
        <w:t>基本规定</w:t>
      </w:r>
      <w:r>
        <w:rPr>
          <w:lang/>
        </w:rPr>
        <w:tab/>
      </w:r>
      <w:r>
        <w:rPr>
          <w:sz w:val="24"/>
          <w:szCs w:val="24"/>
          <w:lang/>
        </w:rPr>
        <w:fldChar w:fldCharType="begin"/>
      </w:r>
      <w:r>
        <w:rPr>
          <w:sz w:val="24"/>
          <w:szCs w:val="24"/>
          <w:lang/>
        </w:rPr>
        <w:instrText xml:space="preserve"> PAGEREF _Toc24542985 \h </w:instrText>
      </w:r>
      <w:r>
        <w:rPr>
          <w:sz w:val="24"/>
          <w:szCs w:val="24"/>
          <w:lang/>
        </w:rPr>
        <w:fldChar w:fldCharType="separate"/>
      </w:r>
      <w:r>
        <w:rPr>
          <w:sz w:val="24"/>
          <w:szCs w:val="24"/>
          <w:lang/>
        </w:rPr>
        <w:t>4</w:t>
      </w:r>
      <w:r>
        <w:rPr>
          <w:sz w:val="24"/>
          <w:szCs w:val="24"/>
          <w:lang/>
        </w:rPr>
        <w:fldChar w:fldCharType="end"/>
      </w:r>
      <w:r>
        <w:rPr>
          <w:sz w:val="24"/>
          <w:szCs w:val="24"/>
          <w:lang/>
        </w:rPr>
        <w:fldChar w:fldCharType="end"/>
      </w:r>
    </w:p>
    <w:p>
      <w:pPr>
        <w:pStyle w:val="9"/>
        <w:tabs>
          <w:tab w:val="right" w:leader="dot" w:pos="9572"/>
        </w:tabs>
        <w:spacing w:line="360" w:lineRule="auto"/>
        <w:rPr>
          <w:sz w:val="24"/>
          <w:szCs w:val="24"/>
          <w:lang/>
        </w:rPr>
      </w:pPr>
      <w:r>
        <w:rPr>
          <w:sz w:val="24"/>
          <w:szCs w:val="24"/>
          <w:lang/>
        </w:rPr>
        <w:fldChar w:fldCharType="begin"/>
      </w:r>
      <w:r>
        <w:rPr>
          <w:rStyle w:val="16"/>
          <w:color w:val="auto"/>
          <w:sz w:val="24"/>
          <w:szCs w:val="24"/>
          <w:lang/>
        </w:rPr>
        <w:instrText xml:space="preserve"> </w:instrText>
      </w:r>
      <w:r>
        <w:rPr>
          <w:sz w:val="24"/>
          <w:szCs w:val="24"/>
          <w:lang/>
        </w:rPr>
        <w:instrText xml:space="preserve">HYPERLINK \l "_Toc24542986"</w:instrText>
      </w:r>
      <w:r>
        <w:rPr>
          <w:rStyle w:val="16"/>
          <w:color w:val="auto"/>
          <w:sz w:val="24"/>
          <w:szCs w:val="24"/>
          <w:lang/>
        </w:rPr>
        <w:instrText xml:space="preserve"> </w:instrText>
      </w:r>
      <w:r>
        <w:rPr>
          <w:sz w:val="24"/>
          <w:szCs w:val="24"/>
          <w:lang/>
        </w:rPr>
        <w:fldChar w:fldCharType="separate"/>
      </w:r>
      <w:r>
        <w:rPr>
          <w:rStyle w:val="16"/>
          <w:color w:val="auto"/>
          <w:sz w:val="24"/>
          <w:szCs w:val="24"/>
          <w:lang/>
        </w:rPr>
        <w:t xml:space="preserve">3.1 </w:t>
      </w:r>
      <w:r>
        <w:rPr>
          <w:rStyle w:val="16"/>
          <w:rFonts w:hint="eastAsia"/>
          <w:color w:val="auto"/>
          <w:sz w:val="24"/>
          <w:szCs w:val="24"/>
          <w:lang/>
        </w:rPr>
        <w:t>一般规定</w:t>
      </w:r>
      <w:r>
        <w:rPr>
          <w:sz w:val="24"/>
          <w:szCs w:val="24"/>
          <w:lang/>
        </w:rPr>
        <w:tab/>
      </w:r>
      <w:r>
        <w:rPr>
          <w:sz w:val="24"/>
          <w:szCs w:val="24"/>
          <w:lang/>
        </w:rPr>
        <w:fldChar w:fldCharType="begin"/>
      </w:r>
      <w:r>
        <w:rPr>
          <w:sz w:val="24"/>
          <w:szCs w:val="24"/>
          <w:lang/>
        </w:rPr>
        <w:instrText xml:space="preserve"> PAGEREF _Toc24542986 \h </w:instrText>
      </w:r>
      <w:r>
        <w:rPr>
          <w:sz w:val="24"/>
          <w:szCs w:val="24"/>
          <w:lang/>
        </w:rPr>
        <w:fldChar w:fldCharType="separate"/>
      </w:r>
      <w:r>
        <w:rPr>
          <w:sz w:val="24"/>
          <w:szCs w:val="24"/>
          <w:lang/>
        </w:rPr>
        <w:t>4</w:t>
      </w:r>
      <w:r>
        <w:rPr>
          <w:sz w:val="24"/>
          <w:szCs w:val="24"/>
          <w:lang/>
        </w:rPr>
        <w:fldChar w:fldCharType="end"/>
      </w:r>
      <w:r>
        <w:rPr>
          <w:sz w:val="24"/>
          <w:szCs w:val="24"/>
          <w:lang/>
        </w:rPr>
        <w:fldChar w:fldCharType="end"/>
      </w:r>
    </w:p>
    <w:p>
      <w:pPr>
        <w:pStyle w:val="9"/>
        <w:tabs>
          <w:tab w:val="right" w:leader="dot" w:pos="9572"/>
        </w:tabs>
        <w:spacing w:line="360" w:lineRule="auto"/>
        <w:rPr>
          <w:sz w:val="24"/>
          <w:szCs w:val="24"/>
          <w:lang/>
        </w:rPr>
      </w:pPr>
      <w:r>
        <w:rPr>
          <w:sz w:val="24"/>
          <w:szCs w:val="24"/>
          <w:lang/>
        </w:rPr>
        <w:fldChar w:fldCharType="begin"/>
      </w:r>
      <w:r>
        <w:rPr>
          <w:rStyle w:val="16"/>
          <w:color w:val="auto"/>
          <w:sz w:val="24"/>
          <w:szCs w:val="24"/>
          <w:lang/>
        </w:rPr>
        <w:instrText xml:space="preserve"> </w:instrText>
      </w:r>
      <w:r>
        <w:rPr>
          <w:sz w:val="24"/>
          <w:szCs w:val="24"/>
          <w:lang/>
        </w:rPr>
        <w:instrText xml:space="preserve">HYPERLINK \l "_Toc24542987"</w:instrText>
      </w:r>
      <w:r>
        <w:rPr>
          <w:rStyle w:val="16"/>
          <w:color w:val="auto"/>
          <w:sz w:val="24"/>
          <w:szCs w:val="24"/>
          <w:lang/>
        </w:rPr>
        <w:instrText xml:space="preserve"> </w:instrText>
      </w:r>
      <w:r>
        <w:rPr>
          <w:sz w:val="24"/>
          <w:szCs w:val="24"/>
          <w:lang/>
        </w:rPr>
        <w:fldChar w:fldCharType="separate"/>
      </w:r>
      <w:r>
        <w:rPr>
          <w:rStyle w:val="16"/>
          <w:color w:val="auto"/>
          <w:sz w:val="24"/>
          <w:szCs w:val="24"/>
          <w:lang/>
        </w:rPr>
        <w:t xml:space="preserve">3.2 </w:t>
      </w:r>
      <w:r>
        <w:rPr>
          <w:rStyle w:val="16"/>
          <w:rFonts w:hint="eastAsia"/>
          <w:color w:val="auto"/>
          <w:sz w:val="24"/>
          <w:szCs w:val="24"/>
          <w:lang/>
        </w:rPr>
        <w:t>评价与等级划分</w:t>
      </w:r>
      <w:r>
        <w:rPr>
          <w:sz w:val="24"/>
          <w:szCs w:val="24"/>
          <w:lang/>
        </w:rPr>
        <w:tab/>
      </w:r>
      <w:r>
        <w:rPr>
          <w:sz w:val="24"/>
          <w:szCs w:val="24"/>
          <w:lang/>
        </w:rPr>
        <w:fldChar w:fldCharType="begin"/>
      </w:r>
      <w:r>
        <w:rPr>
          <w:sz w:val="24"/>
          <w:szCs w:val="24"/>
          <w:lang/>
        </w:rPr>
        <w:instrText xml:space="preserve"> PAGEREF _Toc24542987 \h </w:instrText>
      </w:r>
      <w:r>
        <w:rPr>
          <w:sz w:val="24"/>
          <w:szCs w:val="24"/>
          <w:lang/>
        </w:rPr>
        <w:fldChar w:fldCharType="separate"/>
      </w:r>
      <w:r>
        <w:rPr>
          <w:sz w:val="24"/>
          <w:szCs w:val="24"/>
          <w:lang/>
        </w:rPr>
        <w:t>4</w:t>
      </w:r>
      <w:r>
        <w:rPr>
          <w:sz w:val="24"/>
          <w:szCs w:val="24"/>
          <w:lang/>
        </w:rPr>
        <w:fldChar w:fldCharType="end"/>
      </w:r>
      <w:r>
        <w:rPr>
          <w:sz w:val="24"/>
          <w:szCs w:val="24"/>
          <w:lang/>
        </w:rPr>
        <w:fldChar w:fldCharType="end"/>
      </w:r>
    </w:p>
    <w:p>
      <w:pPr>
        <w:pStyle w:val="8"/>
        <w:rPr>
          <w:lang/>
        </w:rPr>
      </w:pPr>
      <w:r>
        <w:rPr>
          <w:sz w:val="24"/>
          <w:szCs w:val="24"/>
          <w:lang/>
        </w:rPr>
        <w:fldChar w:fldCharType="begin"/>
      </w:r>
      <w:r>
        <w:rPr>
          <w:rStyle w:val="16"/>
          <w:color w:val="auto"/>
          <w:sz w:val="24"/>
          <w:szCs w:val="24"/>
          <w:lang/>
        </w:rPr>
        <w:instrText xml:space="preserve"> </w:instrText>
      </w:r>
      <w:r>
        <w:rPr>
          <w:lang/>
        </w:rPr>
        <w:instrText xml:space="preserve">HYPERLINK \l "_Toc24542988"</w:instrText>
      </w:r>
      <w:r>
        <w:rPr>
          <w:rStyle w:val="16"/>
          <w:color w:val="auto"/>
          <w:sz w:val="24"/>
          <w:szCs w:val="24"/>
          <w:lang/>
        </w:rPr>
        <w:instrText xml:space="preserve"> </w:instrText>
      </w:r>
      <w:r>
        <w:rPr>
          <w:sz w:val="24"/>
          <w:szCs w:val="24"/>
          <w:lang/>
        </w:rPr>
        <w:fldChar w:fldCharType="separate"/>
      </w:r>
      <w:r>
        <w:rPr>
          <w:rStyle w:val="16"/>
          <w:color w:val="auto"/>
          <w:sz w:val="24"/>
          <w:szCs w:val="24"/>
          <w:lang/>
        </w:rPr>
        <w:t xml:space="preserve">4 </w:t>
      </w:r>
      <w:r>
        <w:rPr>
          <w:rStyle w:val="16"/>
          <w:rFonts w:hint="eastAsia"/>
          <w:color w:val="auto"/>
          <w:sz w:val="24"/>
          <w:szCs w:val="24"/>
          <w:lang/>
        </w:rPr>
        <w:t>安全耐久</w:t>
      </w:r>
      <w:r>
        <w:rPr>
          <w:lang/>
        </w:rPr>
        <w:tab/>
      </w:r>
      <w:r>
        <w:rPr>
          <w:sz w:val="24"/>
          <w:szCs w:val="24"/>
          <w:lang/>
        </w:rPr>
        <w:fldChar w:fldCharType="begin"/>
      </w:r>
      <w:r>
        <w:rPr>
          <w:sz w:val="24"/>
          <w:szCs w:val="24"/>
          <w:lang/>
        </w:rPr>
        <w:instrText xml:space="preserve"> PAGEREF _Toc24542988 \h </w:instrText>
      </w:r>
      <w:r>
        <w:rPr>
          <w:sz w:val="24"/>
          <w:szCs w:val="24"/>
          <w:lang/>
        </w:rPr>
        <w:fldChar w:fldCharType="separate"/>
      </w:r>
      <w:r>
        <w:rPr>
          <w:sz w:val="24"/>
          <w:szCs w:val="24"/>
          <w:lang/>
        </w:rPr>
        <w:t>7</w:t>
      </w:r>
      <w:r>
        <w:rPr>
          <w:sz w:val="24"/>
          <w:szCs w:val="24"/>
          <w:lang/>
        </w:rPr>
        <w:fldChar w:fldCharType="end"/>
      </w:r>
      <w:r>
        <w:rPr>
          <w:sz w:val="24"/>
          <w:szCs w:val="24"/>
          <w:lang/>
        </w:rPr>
        <w:fldChar w:fldCharType="end"/>
      </w:r>
    </w:p>
    <w:p>
      <w:pPr>
        <w:pStyle w:val="9"/>
        <w:tabs>
          <w:tab w:val="right" w:leader="dot" w:pos="9572"/>
        </w:tabs>
        <w:spacing w:line="360" w:lineRule="auto"/>
        <w:rPr>
          <w:sz w:val="24"/>
          <w:szCs w:val="24"/>
          <w:lang/>
        </w:rPr>
      </w:pPr>
      <w:r>
        <w:rPr>
          <w:sz w:val="24"/>
          <w:szCs w:val="24"/>
          <w:lang/>
        </w:rPr>
        <w:fldChar w:fldCharType="begin"/>
      </w:r>
      <w:r>
        <w:rPr>
          <w:rStyle w:val="16"/>
          <w:color w:val="auto"/>
          <w:sz w:val="24"/>
          <w:szCs w:val="24"/>
          <w:lang/>
        </w:rPr>
        <w:instrText xml:space="preserve"> </w:instrText>
      </w:r>
      <w:r>
        <w:rPr>
          <w:sz w:val="24"/>
          <w:szCs w:val="24"/>
          <w:lang/>
        </w:rPr>
        <w:instrText xml:space="preserve">HYPERLINK \l "_Toc24542989"</w:instrText>
      </w:r>
      <w:r>
        <w:rPr>
          <w:rStyle w:val="16"/>
          <w:color w:val="auto"/>
          <w:sz w:val="24"/>
          <w:szCs w:val="24"/>
          <w:lang/>
        </w:rPr>
        <w:instrText xml:space="preserve"> </w:instrText>
      </w:r>
      <w:r>
        <w:rPr>
          <w:sz w:val="24"/>
          <w:szCs w:val="24"/>
          <w:lang/>
        </w:rPr>
        <w:fldChar w:fldCharType="separate"/>
      </w:r>
      <w:r>
        <w:rPr>
          <w:rStyle w:val="16"/>
          <w:color w:val="auto"/>
          <w:sz w:val="24"/>
          <w:szCs w:val="24"/>
          <w:lang/>
        </w:rPr>
        <w:t xml:space="preserve">4.1 </w:t>
      </w:r>
      <w:r>
        <w:rPr>
          <w:rStyle w:val="16"/>
          <w:rFonts w:hint="eastAsia"/>
          <w:color w:val="auto"/>
          <w:sz w:val="24"/>
          <w:szCs w:val="24"/>
          <w:lang/>
        </w:rPr>
        <w:t>控制项</w:t>
      </w:r>
      <w:r>
        <w:rPr>
          <w:sz w:val="24"/>
          <w:szCs w:val="24"/>
          <w:lang/>
        </w:rPr>
        <w:tab/>
      </w:r>
      <w:r>
        <w:rPr>
          <w:sz w:val="24"/>
          <w:szCs w:val="24"/>
          <w:lang/>
        </w:rPr>
        <w:fldChar w:fldCharType="begin"/>
      </w:r>
      <w:r>
        <w:rPr>
          <w:sz w:val="24"/>
          <w:szCs w:val="24"/>
          <w:lang/>
        </w:rPr>
        <w:instrText xml:space="preserve"> PAGEREF _Toc24542989 \h </w:instrText>
      </w:r>
      <w:r>
        <w:rPr>
          <w:sz w:val="24"/>
          <w:szCs w:val="24"/>
          <w:lang/>
        </w:rPr>
        <w:fldChar w:fldCharType="separate"/>
      </w:r>
      <w:r>
        <w:rPr>
          <w:sz w:val="24"/>
          <w:szCs w:val="24"/>
          <w:lang/>
        </w:rPr>
        <w:t>7</w:t>
      </w:r>
      <w:r>
        <w:rPr>
          <w:sz w:val="24"/>
          <w:szCs w:val="24"/>
          <w:lang/>
        </w:rPr>
        <w:fldChar w:fldCharType="end"/>
      </w:r>
      <w:r>
        <w:rPr>
          <w:sz w:val="24"/>
          <w:szCs w:val="24"/>
          <w:lang/>
        </w:rPr>
        <w:fldChar w:fldCharType="end"/>
      </w:r>
    </w:p>
    <w:p>
      <w:pPr>
        <w:pStyle w:val="9"/>
        <w:tabs>
          <w:tab w:val="right" w:leader="dot" w:pos="9572"/>
        </w:tabs>
        <w:spacing w:line="360" w:lineRule="auto"/>
        <w:rPr>
          <w:sz w:val="24"/>
          <w:szCs w:val="24"/>
          <w:lang/>
        </w:rPr>
      </w:pPr>
      <w:r>
        <w:rPr>
          <w:sz w:val="24"/>
          <w:szCs w:val="24"/>
          <w:lang/>
        </w:rPr>
        <w:fldChar w:fldCharType="begin"/>
      </w:r>
      <w:r>
        <w:rPr>
          <w:rStyle w:val="16"/>
          <w:color w:val="auto"/>
          <w:sz w:val="24"/>
          <w:szCs w:val="24"/>
          <w:lang/>
        </w:rPr>
        <w:instrText xml:space="preserve"> </w:instrText>
      </w:r>
      <w:r>
        <w:rPr>
          <w:sz w:val="24"/>
          <w:szCs w:val="24"/>
          <w:lang/>
        </w:rPr>
        <w:instrText xml:space="preserve">HYPERLINK \l "_Toc24542990"</w:instrText>
      </w:r>
      <w:r>
        <w:rPr>
          <w:rStyle w:val="16"/>
          <w:color w:val="auto"/>
          <w:sz w:val="24"/>
          <w:szCs w:val="24"/>
          <w:lang/>
        </w:rPr>
        <w:instrText xml:space="preserve"> </w:instrText>
      </w:r>
      <w:r>
        <w:rPr>
          <w:sz w:val="24"/>
          <w:szCs w:val="24"/>
          <w:lang/>
        </w:rPr>
        <w:fldChar w:fldCharType="separate"/>
      </w:r>
      <w:r>
        <w:rPr>
          <w:rStyle w:val="16"/>
          <w:color w:val="auto"/>
          <w:sz w:val="24"/>
          <w:szCs w:val="24"/>
          <w:lang/>
        </w:rPr>
        <w:t xml:space="preserve">4.2 </w:t>
      </w:r>
      <w:r>
        <w:rPr>
          <w:rStyle w:val="16"/>
          <w:rFonts w:hint="eastAsia"/>
          <w:color w:val="auto"/>
          <w:sz w:val="24"/>
          <w:szCs w:val="24"/>
          <w:lang/>
        </w:rPr>
        <w:t>评分项</w:t>
      </w:r>
      <w:r>
        <w:rPr>
          <w:sz w:val="24"/>
          <w:szCs w:val="24"/>
          <w:lang/>
        </w:rPr>
        <w:tab/>
      </w:r>
      <w:r>
        <w:rPr>
          <w:sz w:val="24"/>
          <w:szCs w:val="24"/>
          <w:lang/>
        </w:rPr>
        <w:fldChar w:fldCharType="begin"/>
      </w:r>
      <w:r>
        <w:rPr>
          <w:sz w:val="24"/>
          <w:szCs w:val="24"/>
          <w:lang/>
        </w:rPr>
        <w:instrText xml:space="preserve"> PAGEREF _Toc24542990 \h </w:instrText>
      </w:r>
      <w:r>
        <w:rPr>
          <w:sz w:val="24"/>
          <w:szCs w:val="24"/>
          <w:lang/>
        </w:rPr>
        <w:fldChar w:fldCharType="separate"/>
      </w:r>
      <w:r>
        <w:rPr>
          <w:sz w:val="24"/>
          <w:szCs w:val="24"/>
          <w:lang/>
        </w:rPr>
        <w:t>7</w:t>
      </w:r>
      <w:r>
        <w:rPr>
          <w:sz w:val="24"/>
          <w:szCs w:val="24"/>
          <w:lang/>
        </w:rPr>
        <w:fldChar w:fldCharType="end"/>
      </w:r>
      <w:r>
        <w:rPr>
          <w:sz w:val="24"/>
          <w:szCs w:val="24"/>
          <w:lang/>
        </w:rPr>
        <w:fldChar w:fldCharType="end"/>
      </w:r>
    </w:p>
    <w:p>
      <w:pPr>
        <w:pStyle w:val="8"/>
        <w:rPr>
          <w:lang/>
        </w:rPr>
      </w:pPr>
      <w:r>
        <w:rPr>
          <w:sz w:val="24"/>
          <w:szCs w:val="24"/>
          <w:lang/>
        </w:rPr>
        <w:fldChar w:fldCharType="begin"/>
      </w:r>
      <w:r>
        <w:rPr>
          <w:rStyle w:val="16"/>
          <w:color w:val="auto"/>
          <w:sz w:val="24"/>
          <w:szCs w:val="24"/>
          <w:lang/>
        </w:rPr>
        <w:instrText xml:space="preserve"> </w:instrText>
      </w:r>
      <w:r>
        <w:rPr>
          <w:lang/>
        </w:rPr>
        <w:instrText xml:space="preserve">HYPERLINK \l "_Toc24542991"</w:instrText>
      </w:r>
      <w:r>
        <w:rPr>
          <w:rStyle w:val="16"/>
          <w:color w:val="auto"/>
          <w:sz w:val="24"/>
          <w:szCs w:val="24"/>
          <w:lang/>
        </w:rPr>
        <w:instrText xml:space="preserve"> </w:instrText>
      </w:r>
      <w:r>
        <w:rPr>
          <w:sz w:val="24"/>
          <w:szCs w:val="24"/>
          <w:lang/>
        </w:rPr>
        <w:fldChar w:fldCharType="separate"/>
      </w:r>
      <w:r>
        <w:rPr>
          <w:rStyle w:val="16"/>
          <w:color w:val="auto"/>
          <w:sz w:val="24"/>
          <w:szCs w:val="24"/>
          <w:lang/>
        </w:rPr>
        <w:t xml:space="preserve">5 </w:t>
      </w:r>
      <w:r>
        <w:rPr>
          <w:rStyle w:val="16"/>
          <w:rFonts w:hint="eastAsia"/>
          <w:color w:val="auto"/>
          <w:sz w:val="24"/>
          <w:szCs w:val="24"/>
          <w:lang/>
        </w:rPr>
        <w:t>健</w:t>
      </w:r>
      <w:bookmarkStart w:id="2" w:name="_Hlt30109097"/>
      <w:bookmarkStart w:id="3" w:name="_Hlt30109098"/>
      <w:r>
        <w:rPr>
          <w:rStyle w:val="16"/>
          <w:rFonts w:hint="eastAsia"/>
          <w:color w:val="auto"/>
          <w:sz w:val="24"/>
          <w:szCs w:val="24"/>
          <w:lang/>
        </w:rPr>
        <w:t>康</w:t>
      </w:r>
      <w:bookmarkEnd w:id="2"/>
      <w:bookmarkEnd w:id="3"/>
      <w:bookmarkStart w:id="4" w:name="_Hlt30110816"/>
      <w:r>
        <w:rPr>
          <w:rStyle w:val="16"/>
          <w:rFonts w:hint="eastAsia"/>
          <w:color w:val="auto"/>
          <w:sz w:val="24"/>
          <w:szCs w:val="24"/>
          <w:lang/>
        </w:rPr>
        <w:t>舒</w:t>
      </w:r>
      <w:bookmarkEnd w:id="4"/>
      <w:r>
        <w:rPr>
          <w:rStyle w:val="16"/>
          <w:rFonts w:hint="eastAsia"/>
          <w:color w:val="auto"/>
          <w:sz w:val="24"/>
          <w:szCs w:val="24"/>
          <w:lang/>
        </w:rPr>
        <w:t>适</w:t>
      </w:r>
      <w:bookmarkStart w:id="5" w:name="_Hlt30110656"/>
      <w:r>
        <w:rPr>
          <w:lang/>
        </w:rPr>
        <w:tab/>
      </w:r>
      <w:bookmarkEnd w:id="5"/>
      <w:r>
        <w:rPr>
          <w:sz w:val="24"/>
          <w:szCs w:val="24"/>
          <w:lang/>
        </w:rPr>
        <w:fldChar w:fldCharType="begin"/>
      </w:r>
      <w:r>
        <w:rPr>
          <w:sz w:val="24"/>
          <w:szCs w:val="24"/>
          <w:lang/>
        </w:rPr>
        <w:instrText xml:space="preserve"> PAGEREF _Toc24542991 \h </w:instrText>
      </w:r>
      <w:r>
        <w:rPr>
          <w:sz w:val="24"/>
          <w:szCs w:val="24"/>
          <w:lang/>
        </w:rPr>
        <w:fldChar w:fldCharType="separate"/>
      </w:r>
      <w:r>
        <w:rPr>
          <w:sz w:val="24"/>
          <w:szCs w:val="24"/>
          <w:lang/>
        </w:rPr>
        <w:t>10</w:t>
      </w:r>
      <w:r>
        <w:rPr>
          <w:sz w:val="24"/>
          <w:szCs w:val="24"/>
          <w:lang/>
        </w:rPr>
        <w:fldChar w:fldCharType="end"/>
      </w:r>
      <w:r>
        <w:rPr>
          <w:sz w:val="24"/>
          <w:szCs w:val="24"/>
          <w:lang/>
        </w:rPr>
        <w:fldChar w:fldCharType="end"/>
      </w:r>
    </w:p>
    <w:p>
      <w:pPr>
        <w:pStyle w:val="9"/>
        <w:tabs>
          <w:tab w:val="right" w:leader="dot" w:pos="9572"/>
        </w:tabs>
        <w:spacing w:line="360" w:lineRule="auto"/>
        <w:rPr>
          <w:sz w:val="24"/>
          <w:szCs w:val="24"/>
          <w:lang/>
        </w:rPr>
      </w:pPr>
      <w:r>
        <w:rPr>
          <w:sz w:val="24"/>
          <w:szCs w:val="24"/>
          <w:lang/>
        </w:rPr>
        <w:fldChar w:fldCharType="begin"/>
      </w:r>
      <w:r>
        <w:rPr>
          <w:rStyle w:val="16"/>
          <w:color w:val="auto"/>
          <w:sz w:val="24"/>
          <w:szCs w:val="24"/>
          <w:lang/>
        </w:rPr>
        <w:instrText xml:space="preserve"> </w:instrText>
      </w:r>
      <w:r>
        <w:rPr>
          <w:sz w:val="24"/>
          <w:szCs w:val="24"/>
          <w:lang/>
        </w:rPr>
        <w:instrText xml:space="preserve">HYPERLINK \l "_Toc24542992"</w:instrText>
      </w:r>
      <w:r>
        <w:rPr>
          <w:rStyle w:val="16"/>
          <w:color w:val="auto"/>
          <w:sz w:val="24"/>
          <w:szCs w:val="24"/>
          <w:lang/>
        </w:rPr>
        <w:instrText xml:space="preserve"> </w:instrText>
      </w:r>
      <w:r>
        <w:rPr>
          <w:sz w:val="24"/>
          <w:szCs w:val="24"/>
          <w:lang/>
        </w:rPr>
        <w:fldChar w:fldCharType="separate"/>
      </w:r>
      <w:r>
        <w:rPr>
          <w:rStyle w:val="16"/>
          <w:color w:val="auto"/>
          <w:sz w:val="24"/>
          <w:szCs w:val="24"/>
          <w:lang/>
        </w:rPr>
        <w:t xml:space="preserve">5.1 </w:t>
      </w:r>
      <w:r>
        <w:rPr>
          <w:rStyle w:val="16"/>
          <w:rFonts w:hint="eastAsia"/>
          <w:color w:val="auto"/>
          <w:sz w:val="24"/>
          <w:szCs w:val="24"/>
          <w:lang/>
        </w:rPr>
        <w:t>控制项</w:t>
      </w:r>
      <w:r>
        <w:rPr>
          <w:sz w:val="24"/>
          <w:szCs w:val="24"/>
          <w:lang/>
        </w:rPr>
        <w:tab/>
      </w:r>
      <w:r>
        <w:rPr>
          <w:sz w:val="24"/>
          <w:szCs w:val="24"/>
          <w:lang/>
        </w:rPr>
        <w:fldChar w:fldCharType="begin"/>
      </w:r>
      <w:r>
        <w:rPr>
          <w:sz w:val="24"/>
          <w:szCs w:val="24"/>
          <w:lang/>
        </w:rPr>
        <w:instrText xml:space="preserve"> PAGEREF _Toc24542992 \h </w:instrText>
      </w:r>
      <w:r>
        <w:rPr>
          <w:sz w:val="24"/>
          <w:szCs w:val="24"/>
          <w:lang/>
        </w:rPr>
        <w:fldChar w:fldCharType="separate"/>
      </w:r>
      <w:r>
        <w:rPr>
          <w:sz w:val="24"/>
          <w:szCs w:val="24"/>
          <w:lang/>
        </w:rPr>
        <w:t>10</w:t>
      </w:r>
      <w:r>
        <w:rPr>
          <w:sz w:val="24"/>
          <w:szCs w:val="24"/>
          <w:lang/>
        </w:rPr>
        <w:fldChar w:fldCharType="end"/>
      </w:r>
      <w:r>
        <w:rPr>
          <w:sz w:val="24"/>
          <w:szCs w:val="24"/>
          <w:lang/>
        </w:rPr>
        <w:fldChar w:fldCharType="end"/>
      </w:r>
    </w:p>
    <w:p>
      <w:pPr>
        <w:pStyle w:val="9"/>
        <w:tabs>
          <w:tab w:val="right" w:leader="dot" w:pos="9572"/>
        </w:tabs>
        <w:spacing w:line="360" w:lineRule="auto"/>
        <w:rPr>
          <w:sz w:val="24"/>
          <w:szCs w:val="24"/>
          <w:lang/>
        </w:rPr>
      </w:pPr>
      <w:r>
        <w:rPr>
          <w:sz w:val="24"/>
          <w:szCs w:val="24"/>
          <w:lang/>
        </w:rPr>
        <w:fldChar w:fldCharType="begin"/>
      </w:r>
      <w:r>
        <w:rPr>
          <w:rStyle w:val="16"/>
          <w:color w:val="auto"/>
          <w:sz w:val="24"/>
          <w:szCs w:val="24"/>
          <w:lang/>
        </w:rPr>
        <w:instrText xml:space="preserve"> </w:instrText>
      </w:r>
      <w:r>
        <w:rPr>
          <w:sz w:val="24"/>
          <w:szCs w:val="24"/>
          <w:lang/>
        </w:rPr>
        <w:instrText xml:space="preserve">HYPERLINK \l "_Toc24542993"</w:instrText>
      </w:r>
      <w:r>
        <w:rPr>
          <w:rStyle w:val="16"/>
          <w:color w:val="auto"/>
          <w:sz w:val="24"/>
          <w:szCs w:val="24"/>
          <w:lang/>
        </w:rPr>
        <w:instrText xml:space="preserve"> </w:instrText>
      </w:r>
      <w:r>
        <w:rPr>
          <w:sz w:val="24"/>
          <w:szCs w:val="24"/>
          <w:lang/>
        </w:rPr>
        <w:fldChar w:fldCharType="separate"/>
      </w:r>
      <w:r>
        <w:rPr>
          <w:rStyle w:val="16"/>
          <w:color w:val="auto"/>
          <w:sz w:val="24"/>
          <w:szCs w:val="24"/>
          <w:lang/>
        </w:rPr>
        <w:t xml:space="preserve">5.2 </w:t>
      </w:r>
      <w:r>
        <w:rPr>
          <w:rStyle w:val="16"/>
          <w:rFonts w:hint="eastAsia"/>
          <w:color w:val="auto"/>
          <w:sz w:val="24"/>
          <w:szCs w:val="24"/>
          <w:lang/>
        </w:rPr>
        <w:t>评分项</w:t>
      </w:r>
      <w:r>
        <w:rPr>
          <w:sz w:val="24"/>
          <w:szCs w:val="24"/>
          <w:lang/>
        </w:rPr>
        <w:tab/>
      </w:r>
      <w:r>
        <w:rPr>
          <w:sz w:val="24"/>
          <w:szCs w:val="24"/>
          <w:lang/>
        </w:rPr>
        <w:fldChar w:fldCharType="begin"/>
      </w:r>
      <w:r>
        <w:rPr>
          <w:sz w:val="24"/>
          <w:szCs w:val="24"/>
          <w:lang/>
        </w:rPr>
        <w:instrText xml:space="preserve"> PAGEREF _Toc24542993 \h </w:instrText>
      </w:r>
      <w:r>
        <w:rPr>
          <w:sz w:val="24"/>
          <w:szCs w:val="24"/>
          <w:lang/>
        </w:rPr>
        <w:fldChar w:fldCharType="separate"/>
      </w:r>
      <w:r>
        <w:rPr>
          <w:sz w:val="24"/>
          <w:szCs w:val="24"/>
          <w:lang/>
        </w:rPr>
        <w:t>11</w:t>
      </w:r>
      <w:r>
        <w:rPr>
          <w:sz w:val="24"/>
          <w:szCs w:val="24"/>
          <w:lang/>
        </w:rPr>
        <w:fldChar w:fldCharType="end"/>
      </w:r>
      <w:r>
        <w:rPr>
          <w:sz w:val="24"/>
          <w:szCs w:val="24"/>
          <w:lang/>
        </w:rPr>
        <w:fldChar w:fldCharType="end"/>
      </w:r>
    </w:p>
    <w:p>
      <w:pPr>
        <w:pStyle w:val="8"/>
        <w:rPr>
          <w:lang/>
        </w:rPr>
      </w:pPr>
      <w:r>
        <w:rPr>
          <w:sz w:val="24"/>
          <w:szCs w:val="24"/>
          <w:lang/>
        </w:rPr>
        <w:fldChar w:fldCharType="begin"/>
      </w:r>
      <w:r>
        <w:rPr>
          <w:rStyle w:val="16"/>
          <w:color w:val="auto"/>
          <w:sz w:val="24"/>
          <w:szCs w:val="24"/>
          <w:lang/>
        </w:rPr>
        <w:instrText xml:space="preserve"> </w:instrText>
      </w:r>
      <w:r>
        <w:rPr>
          <w:lang/>
        </w:rPr>
        <w:instrText xml:space="preserve">HYPERLINK \l "_Toc24542994"</w:instrText>
      </w:r>
      <w:r>
        <w:rPr>
          <w:rStyle w:val="16"/>
          <w:color w:val="auto"/>
          <w:sz w:val="24"/>
          <w:szCs w:val="24"/>
          <w:lang/>
        </w:rPr>
        <w:instrText xml:space="preserve"> </w:instrText>
      </w:r>
      <w:r>
        <w:rPr>
          <w:sz w:val="24"/>
          <w:szCs w:val="24"/>
          <w:lang/>
        </w:rPr>
        <w:fldChar w:fldCharType="separate"/>
      </w:r>
      <w:r>
        <w:rPr>
          <w:rStyle w:val="16"/>
          <w:color w:val="auto"/>
          <w:sz w:val="24"/>
          <w:szCs w:val="24"/>
          <w:lang/>
        </w:rPr>
        <w:t xml:space="preserve">6 </w:t>
      </w:r>
      <w:r>
        <w:rPr>
          <w:rStyle w:val="16"/>
          <w:rFonts w:hint="eastAsia"/>
          <w:color w:val="auto"/>
          <w:sz w:val="24"/>
          <w:szCs w:val="24"/>
          <w:lang/>
        </w:rPr>
        <w:t>生活</w:t>
      </w:r>
      <w:bookmarkStart w:id="6" w:name="_Hlt30111967"/>
      <w:r>
        <w:rPr>
          <w:rStyle w:val="16"/>
          <w:rFonts w:hint="eastAsia"/>
          <w:color w:val="auto"/>
          <w:sz w:val="24"/>
          <w:szCs w:val="24"/>
          <w:lang/>
        </w:rPr>
        <w:t>便</w:t>
      </w:r>
      <w:bookmarkEnd w:id="6"/>
      <w:r>
        <w:rPr>
          <w:rStyle w:val="16"/>
          <w:rFonts w:hint="eastAsia"/>
          <w:color w:val="auto"/>
          <w:sz w:val="24"/>
          <w:szCs w:val="24"/>
          <w:lang/>
        </w:rPr>
        <w:t>利</w:t>
      </w:r>
      <w:r>
        <w:rPr>
          <w:lang/>
        </w:rPr>
        <w:tab/>
      </w:r>
      <w:r>
        <w:rPr>
          <w:sz w:val="24"/>
          <w:szCs w:val="24"/>
          <w:lang/>
        </w:rPr>
        <w:fldChar w:fldCharType="begin"/>
      </w:r>
      <w:r>
        <w:rPr>
          <w:sz w:val="24"/>
          <w:szCs w:val="24"/>
          <w:lang/>
        </w:rPr>
        <w:instrText xml:space="preserve"> PAGEREF _Toc24542994 \h </w:instrText>
      </w:r>
      <w:r>
        <w:rPr>
          <w:sz w:val="24"/>
          <w:szCs w:val="24"/>
          <w:lang/>
        </w:rPr>
        <w:fldChar w:fldCharType="separate"/>
      </w:r>
      <w:r>
        <w:rPr>
          <w:sz w:val="24"/>
          <w:szCs w:val="24"/>
          <w:lang/>
        </w:rPr>
        <w:t>14</w:t>
      </w:r>
      <w:r>
        <w:rPr>
          <w:sz w:val="24"/>
          <w:szCs w:val="24"/>
          <w:lang/>
        </w:rPr>
        <w:fldChar w:fldCharType="end"/>
      </w:r>
      <w:r>
        <w:rPr>
          <w:sz w:val="24"/>
          <w:szCs w:val="24"/>
          <w:lang/>
        </w:rPr>
        <w:fldChar w:fldCharType="end"/>
      </w:r>
    </w:p>
    <w:p>
      <w:pPr>
        <w:pStyle w:val="9"/>
        <w:tabs>
          <w:tab w:val="right" w:leader="dot" w:pos="9572"/>
        </w:tabs>
        <w:spacing w:line="360" w:lineRule="auto"/>
        <w:rPr>
          <w:sz w:val="24"/>
          <w:szCs w:val="24"/>
          <w:lang/>
        </w:rPr>
      </w:pPr>
      <w:r>
        <w:rPr>
          <w:sz w:val="24"/>
          <w:szCs w:val="24"/>
          <w:lang/>
        </w:rPr>
        <w:fldChar w:fldCharType="begin"/>
      </w:r>
      <w:r>
        <w:rPr>
          <w:rStyle w:val="16"/>
          <w:color w:val="auto"/>
          <w:sz w:val="24"/>
          <w:szCs w:val="24"/>
          <w:lang/>
        </w:rPr>
        <w:instrText xml:space="preserve"> </w:instrText>
      </w:r>
      <w:r>
        <w:rPr>
          <w:sz w:val="24"/>
          <w:szCs w:val="24"/>
          <w:lang/>
        </w:rPr>
        <w:instrText xml:space="preserve">HYPERLINK \l "_Toc24542995"</w:instrText>
      </w:r>
      <w:r>
        <w:rPr>
          <w:rStyle w:val="16"/>
          <w:color w:val="auto"/>
          <w:sz w:val="24"/>
          <w:szCs w:val="24"/>
          <w:lang/>
        </w:rPr>
        <w:instrText xml:space="preserve"> </w:instrText>
      </w:r>
      <w:r>
        <w:rPr>
          <w:sz w:val="24"/>
          <w:szCs w:val="24"/>
          <w:lang/>
        </w:rPr>
        <w:fldChar w:fldCharType="separate"/>
      </w:r>
      <w:r>
        <w:rPr>
          <w:rStyle w:val="16"/>
          <w:color w:val="auto"/>
          <w:sz w:val="24"/>
          <w:szCs w:val="24"/>
          <w:lang/>
        </w:rPr>
        <w:t xml:space="preserve">6.1 </w:t>
      </w:r>
      <w:r>
        <w:rPr>
          <w:rStyle w:val="16"/>
          <w:rFonts w:hint="eastAsia"/>
          <w:color w:val="auto"/>
          <w:sz w:val="24"/>
          <w:szCs w:val="24"/>
          <w:lang/>
        </w:rPr>
        <w:t>控制项</w:t>
      </w:r>
      <w:r>
        <w:rPr>
          <w:sz w:val="24"/>
          <w:szCs w:val="24"/>
          <w:lang/>
        </w:rPr>
        <w:tab/>
      </w:r>
      <w:r>
        <w:rPr>
          <w:sz w:val="24"/>
          <w:szCs w:val="24"/>
          <w:lang/>
        </w:rPr>
        <w:fldChar w:fldCharType="begin"/>
      </w:r>
      <w:r>
        <w:rPr>
          <w:sz w:val="24"/>
          <w:szCs w:val="24"/>
          <w:lang/>
        </w:rPr>
        <w:instrText xml:space="preserve"> PAGEREF _Toc24542995 \h </w:instrText>
      </w:r>
      <w:r>
        <w:rPr>
          <w:sz w:val="24"/>
          <w:szCs w:val="24"/>
          <w:lang/>
        </w:rPr>
        <w:fldChar w:fldCharType="separate"/>
      </w:r>
      <w:r>
        <w:rPr>
          <w:sz w:val="24"/>
          <w:szCs w:val="24"/>
          <w:lang/>
        </w:rPr>
        <w:t>14</w:t>
      </w:r>
      <w:r>
        <w:rPr>
          <w:sz w:val="24"/>
          <w:szCs w:val="24"/>
          <w:lang/>
        </w:rPr>
        <w:fldChar w:fldCharType="end"/>
      </w:r>
      <w:r>
        <w:rPr>
          <w:sz w:val="24"/>
          <w:szCs w:val="24"/>
          <w:lang/>
        </w:rPr>
        <w:fldChar w:fldCharType="end"/>
      </w:r>
    </w:p>
    <w:p>
      <w:pPr>
        <w:pStyle w:val="9"/>
        <w:tabs>
          <w:tab w:val="right" w:leader="dot" w:pos="9572"/>
        </w:tabs>
        <w:spacing w:line="360" w:lineRule="auto"/>
        <w:rPr>
          <w:sz w:val="24"/>
          <w:szCs w:val="24"/>
          <w:lang/>
        </w:rPr>
      </w:pPr>
      <w:r>
        <w:rPr>
          <w:sz w:val="24"/>
          <w:szCs w:val="24"/>
          <w:lang/>
        </w:rPr>
        <w:fldChar w:fldCharType="begin"/>
      </w:r>
      <w:r>
        <w:rPr>
          <w:rStyle w:val="16"/>
          <w:color w:val="auto"/>
          <w:sz w:val="24"/>
          <w:szCs w:val="24"/>
          <w:lang/>
        </w:rPr>
        <w:instrText xml:space="preserve"> </w:instrText>
      </w:r>
      <w:r>
        <w:rPr>
          <w:sz w:val="24"/>
          <w:szCs w:val="24"/>
          <w:lang/>
        </w:rPr>
        <w:instrText xml:space="preserve">HYPERLINK \l "_Toc24542996"</w:instrText>
      </w:r>
      <w:r>
        <w:rPr>
          <w:rStyle w:val="16"/>
          <w:color w:val="auto"/>
          <w:sz w:val="24"/>
          <w:szCs w:val="24"/>
          <w:lang/>
        </w:rPr>
        <w:instrText xml:space="preserve"> </w:instrText>
      </w:r>
      <w:r>
        <w:rPr>
          <w:sz w:val="24"/>
          <w:szCs w:val="24"/>
          <w:lang/>
        </w:rPr>
        <w:fldChar w:fldCharType="separate"/>
      </w:r>
      <w:r>
        <w:rPr>
          <w:rStyle w:val="16"/>
          <w:color w:val="auto"/>
          <w:sz w:val="24"/>
          <w:szCs w:val="24"/>
          <w:lang/>
        </w:rPr>
        <w:t xml:space="preserve">6.2 </w:t>
      </w:r>
      <w:r>
        <w:rPr>
          <w:rStyle w:val="16"/>
          <w:rFonts w:hint="eastAsia"/>
          <w:color w:val="auto"/>
          <w:sz w:val="24"/>
          <w:szCs w:val="24"/>
          <w:lang/>
        </w:rPr>
        <w:t>评分项</w:t>
      </w:r>
      <w:r>
        <w:rPr>
          <w:sz w:val="24"/>
          <w:szCs w:val="24"/>
          <w:lang/>
        </w:rPr>
        <w:tab/>
      </w:r>
      <w:r>
        <w:rPr>
          <w:sz w:val="24"/>
          <w:szCs w:val="24"/>
          <w:lang/>
        </w:rPr>
        <w:fldChar w:fldCharType="begin"/>
      </w:r>
      <w:r>
        <w:rPr>
          <w:sz w:val="24"/>
          <w:szCs w:val="24"/>
          <w:lang/>
        </w:rPr>
        <w:instrText xml:space="preserve"> PAGEREF _Toc24542996 \h </w:instrText>
      </w:r>
      <w:r>
        <w:rPr>
          <w:sz w:val="24"/>
          <w:szCs w:val="24"/>
          <w:lang/>
        </w:rPr>
        <w:fldChar w:fldCharType="separate"/>
      </w:r>
      <w:r>
        <w:rPr>
          <w:sz w:val="24"/>
          <w:szCs w:val="24"/>
          <w:lang/>
        </w:rPr>
        <w:t>14</w:t>
      </w:r>
      <w:r>
        <w:rPr>
          <w:sz w:val="24"/>
          <w:szCs w:val="24"/>
          <w:lang/>
        </w:rPr>
        <w:fldChar w:fldCharType="end"/>
      </w:r>
      <w:r>
        <w:rPr>
          <w:sz w:val="24"/>
          <w:szCs w:val="24"/>
          <w:lang/>
        </w:rPr>
        <w:fldChar w:fldCharType="end"/>
      </w:r>
    </w:p>
    <w:p>
      <w:pPr>
        <w:pStyle w:val="8"/>
        <w:rPr>
          <w:lang/>
        </w:rPr>
      </w:pPr>
      <w:r>
        <w:rPr>
          <w:sz w:val="24"/>
          <w:szCs w:val="24"/>
          <w:lang/>
        </w:rPr>
        <w:fldChar w:fldCharType="begin"/>
      </w:r>
      <w:r>
        <w:rPr>
          <w:rStyle w:val="16"/>
          <w:color w:val="auto"/>
          <w:sz w:val="24"/>
          <w:szCs w:val="24"/>
          <w:lang/>
        </w:rPr>
        <w:instrText xml:space="preserve"> </w:instrText>
      </w:r>
      <w:r>
        <w:rPr>
          <w:lang/>
        </w:rPr>
        <w:instrText xml:space="preserve">HYPERLINK \l "_Toc24542997"</w:instrText>
      </w:r>
      <w:r>
        <w:rPr>
          <w:rStyle w:val="16"/>
          <w:color w:val="auto"/>
          <w:sz w:val="24"/>
          <w:szCs w:val="24"/>
          <w:lang/>
        </w:rPr>
        <w:instrText xml:space="preserve"> </w:instrText>
      </w:r>
      <w:r>
        <w:rPr>
          <w:sz w:val="24"/>
          <w:szCs w:val="24"/>
          <w:lang/>
        </w:rPr>
        <w:fldChar w:fldCharType="separate"/>
      </w:r>
      <w:r>
        <w:rPr>
          <w:rStyle w:val="16"/>
          <w:color w:val="auto"/>
          <w:sz w:val="24"/>
          <w:szCs w:val="24"/>
          <w:lang/>
        </w:rPr>
        <w:t xml:space="preserve">7 </w:t>
      </w:r>
      <w:r>
        <w:rPr>
          <w:rStyle w:val="16"/>
          <w:rFonts w:hint="eastAsia"/>
          <w:color w:val="auto"/>
          <w:sz w:val="24"/>
          <w:szCs w:val="24"/>
          <w:lang/>
        </w:rPr>
        <w:t>资源节约</w:t>
      </w:r>
      <w:r>
        <w:rPr>
          <w:lang/>
        </w:rPr>
        <w:tab/>
      </w:r>
      <w:r>
        <w:rPr>
          <w:sz w:val="24"/>
          <w:szCs w:val="24"/>
          <w:lang/>
        </w:rPr>
        <w:fldChar w:fldCharType="begin"/>
      </w:r>
      <w:r>
        <w:rPr>
          <w:sz w:val="24"/>
          <w:szCs w:val="24"/>
          <w:lang/>
        </w:rPr>
        <w:instrText xml:space="preserve"> PAGEREF _Toc24542997 \h </w:instrText>
      </w:r>
      <w:r>
        <w:rPr>
          <w:sz w:val="24"/>
          <w:szCs w:val="24"/>
          <w:lang/>
        </w:rPr>
        <w:fldChar w:fldCharType="separate"/>
      </w:r>
      <w:r>
        <w:rPr>
          <w:sz w:val="24"/>
          <w:szCs w:val="24"/>
          <w:lang/>
        </w:rPr>
        <w:t>18</w:t>
      </w:r>
      <w:r>
        <w:rPr>
          <w:sz w:val="24"/>
          <w:szCs w:val="24"/>
          <w:lang/>
        </w:rPr>
        <w:fldChar w:fldCharType="end"/>
      </w:r>
      <w:r>
        <w:rPr>
          <w:sz w:val="24"/>
          <w:szCs w:val="24"/>
          <w:lang/>
        </w:rPr>
        <w:fldChar w:fldCharType="end"/>
      </w:r>
    </w:p>
    <w:p>
      <w:pPr>
        <w:pStyle w:val="9"/>
        <w:tabs>
          <w:tab w:val="right" w:leader="dot" w:pos="9572"/>
        </w:tabs>
        <w:spacing w:line="360" w:lineRule="auto"/>
        <w:rPr>
          <w:sz w:val="24"/>
          <w:szCs w:val="24"/>
          <w:lang/>
        </w:rPr>
      </w:pPr>
      <w:r>
        <w:rPr>
          <w:sz w:val="24"/>
          <w:szCs w:val="24"/>
          <w:lang/>
        </w:rPr>
        <w:fldChar w:fldCharType="begin"/>
      </w:r>
      <w:r>
        <w:rPr>
          <w:rStyle w:val="16"/>
          <w:color w:val="auto"/>
          <w:sz w:val="24"/>
          <w:szCs w:val="24"/>
          <w:lang/>
        </w:rPr>
        <w:instrText xml:space="preserve"> </w:instrText>
      </w:r>
      <w:r>
        <w:rPr>
          <w:sz w:val="24"/>
          <w:szCs w:val="24"/>
          <w:lang/>
        </w:rPr>
        <w:instrText xml:space="preserve">HYPERLINK \l "_Toc24542998"</w:instrText>
      </w:r>
      <w:r>
        <w:rPr>
          <w:rStyle w:val="16"/>
          <w:color w:val="auto"/>
          <w:sz w:val="24"/>
          <w:szCs w:val="24"/>
          <w:lang/>
        </w:rPr>
        <w:instrText xml:space="preserve"> </w:instrText>
      </w:r>
      <w:r>
        <w:rPr>
          <w:sz w:val="24"/>
          <w:szCs w:val="24"/>
          <w:lang/>
        </w:rPr>
        <w:fldChar w:fldCharType="separate"/>
      </w:r>
      <w:r>
        <w:rPr>
          <w:rStyle w:val="16"/>
          <w:color w:val="auto"/>
          <w:sz w:val="24"/>
          <w:szCs w:val="24"/>
          <w:lang/>
        </w:rPr>
        <w:t xml:space="preserve">7.1 </w:t>
      </w:r>
      <w:r>
        <w:rPr>
          <w:rStyle w:val="16"/>
          <w:rFonts w:hint="eastAsia"/>
          <w:color w:val="auto"/>
          <w:sz w:val="24"/>
          <w:szCs w:val="24"/>
          <w:lang/>
        </w:rPr>
        <w:t>控制项</w:t>
      </w:r>
      <w:r>
        <w:rPr>
          <w:sz w:val="24"/>
          <w:szCs w:val="24"/>
          <w:lang/>
        </w:rPr>
        <w:tab/>
      </w:r>
      <w:r>
        <w:rPr>
          <w:sz w:val="24"/>
          <w:szCs w:val="24"/>
          <w:lang/>
        </w:rPr>
        <w:fldChar w:fldCharType="begin"/>
      </w:r>
      <w:r>
        <w:rPr>
          <w:sz w:val="24"/>
          <w:szCs w:val="24"/>
          <w:lang/>
        </w:rPr>
        <w:instrText xml:space="preserve"> PAGEREF _Toc24542998 \h </w:instrText>
      </w:r>
      <w:r>
        <w:rPr>
          <w:sz w:val="24"/>
          <w:szCs w:val="24"/>
          <w:lang/>
        </w:rPr>
        <w:fldChar w:fldCharType="separate"/>
      </w:r>
      <w:r>
        <w:rPr>
          <w:sz w:val="24"/>
          <w:szCs w:val="24"/>
          <w:lang/>
        </w:rPr>
        <w:t>18</w:t>
      </w:r>
      <w:r>
        <w:rPr>
          <w:sz w:val="24"/>
          <w:szCs w:val="24"/>
          <w:lang/>
        </w:rPr>
        <w:fldChar w:fldCharType="end"/>
      </w:r>
      <w:r>
        <w:rPr>
          <w:sz w:val="24"/>
          <w:szCs w:val="24"/>
          <w:lang/>
        </w:rPr>
        <w:fldChar w:fldCharType="end"/>
      </w:r>
    </w:p>
    <w:p>
      <w:pPr>
        <w:pStyle w:val="9"/>
        <w:tabs>
          <w:tab w:val="right" w:leader="dot" w:pos="9572"/>
        </w:tabs>
        <w:spacing w:line="360" w:lineRule="auto"/>
        <w:rPr>
          <w:sz w:val="24"/>
          <w:szCs w:val="24"/>
          <w:lang/>
        </w:rPr>
      </w:pPr>
      <w:r>
        <w:rPr>
          <w:sz w:val="24"/>
          <w:szCs w:val="24"/>
          <w:lang/>
        </w:rPr>
        <w:fldChar w:fldCharType="begin"/>
      </w:r>
      <w:r>
        <w:rPr>
          <w:rStyle w:val="16"/>
          <w:color w:val="auto"/>
          <w:sz w:val="24"/>
          <w:szCs w:val="24"/>
          <w:lang/>
        </w:rPr>
        <w:instrText xml:space="preserve"> </w:instrText>
      </w:r>
      <w:r>
        <w:rPr>
          <w:sz w:val="24"/>
          <w:szCs w:val="24"/>
          <w:lang/>
        </w:rPr>
        <w:instrText xml:space="preserve">HYPERLINK \l "_Toc24542999"</w:instrText>
      </w:r>
      <w:r>
        <w:rPr>
          <w:rStyle w:val="16"/>
          <w:color w:val="auto"/>
          <w:sz w:val="24"/>
          <w:szCs w:val="24"/>
          <w:lang/>
        </w:rPr>
        <w:instrText xml:space="preserve"> </w:instrText>
      </w:r>
      <w:r>
        <w:rPr>
          <w:sz w:val="24"/>
          <w:szCs w:val="24"/>
          <w:lang/>
        </w:rPr>
        <w:fldChar w:fldCharType="separate"/>
      </w:r>
      <w:r>
        <w:rPr>
          <w:rStyle w:val="16"/>
          <w:color w:val="auto"/>
          <w:sz w:val="24"/>
          <w:szCs w:val="24"/>
          <w:lang/>
        </w:rPr>
        <w:t xml:space="preserve">7.2 </w:t>
      </w:r>
      <w:r>
        <w:rPr>
          <w:rStyle w:val="16"/>
          <w:rFonts w:hint="eastAsia"/>
          <w:color w:val="auto"/>
          <w:sz w:val="24"/>
          <w:szCs w:val="24"/>
          <w:lang/>
        </w:rPr>
        <w:t>评分项</w:t>
      </w:r>
      <w:r>
        <w:rPr>
          <w:sz w:val="24"/>
          <w:szCs w:val="24"/>
          <w:lang/>
        </w:rPr>
        <w:tab/>
      </w:r>
      <w:r>
        <w:rPr>
          <w:sz w:val="24"/>
          <w:szCs w:val="24"/>
          <w:lang/>
        </w:rPr>
        <w:fldChar w:fldCharType="begin"/>
      </w:r>
      <w:r>
        <w:rPr>
          <w:sz w:val="24"/>
          <w:szCs w:val="24"/>
          <w:lang/>
        </w:rPr>
        <w:instrText xml:space="preserve"> PAGEREF _Toc24542999 \h </w:instrText>
      </w:r>
      <w:r>
        <w:rPr>
          <w:sz w:val="24"/>
          <w:szCs w:val="24"/>
          <w:lang/>
        </w:rPr>
        <w:fldChar w:fldCharType="separate"/>
      </w:r>
      <w:r>
        <w:rPr>
          <w:sz w:val="24"/>
          <w:szCs w:val="24"/>
          <w:lang/>
        </w:rPr>
        <w:t>19</w:t>
      </w:r>
      <w:r>
        <w:rPr>
          <w:sz w:val="24"/>
          <w:szCs w:val="24"/>
          <w:lang/>
        </w:rPr>
        <w:fldChar w:fldCharType="end"/>
      </w:r>
      <w:r>
        <w:rPr>
          <w:sz w:val="24"/>
          <w:szCs w:val="24"/>
          <w:lang/>
        </w:rPr>
        <w:fldChar w:fldCharType="end"/>
      </w:r>
    </w:p>
    <w:p>
      <w:pPr>
        <w:pStyle w:val="8"/>
        <w:rPr>
          <w:lang/>
        </w:rPr>
      </w:pPr>
      <w:r>
        <w:rPr>
          <w:sz w:val="24"/>
          <w:szCs w:val="24"/>
          <w:lang/>
        </w:rPr>
        <w:fldChar w:fldCharType="begin"/>
      </w:r>
      <w:r>
        <w:rPr>
          <w:rStyle w:val="16"/>
          <w:color w:val="auto"/>
          <w:sz w:val="24"/>
          <w:szCs w:val="24"/>
          <w:lang/>
        </w:rPr>
        <w:instrText xml:space="preserve"> </w:instrText>
      </w:r>
      <w:r>
        <w:rPr>
          <w:lang/>
        </w:rPr>
        <w:instrText xml:space="preserve">HYPERLINK \l "_Toc24543000"</w:instrText>
      </w:r>
      <w:r>
        <w:rPr>
          <w:rStyle w:val="16"/>
          <w:color w:val="auto"/>
          <w:sz w:val="24"/>
          <w:szCs w:val="24"/>
          <w:lang/>
        </w:rPr>
        <w:instrText xml:space="preserve"> </w:instrText>
      </w:r>
      <w:r>
        <w:rPr>
          <w:sz w:val="24"/>
          <w:szCs w:val="24"/>
          <w:lang/>
        </w:rPr>
        <w:fldChar w:fldCharType="separate"/>
      </w:r>
      <w:r>
        <w:rPr>
          <w:rStyle w:val="16"/>
          <w:color w:val="auto"/>
          <w:sz w:val="24"/>
          <w:szCs w:val="24"/>
          <w:lang/>
        </w:rPr>
        <w:t xml:space="preserve">8 </w:t>
      </w:r>
      <w:r>
        <w:rPr>
          <w:rStyle w:val="16"/>
          <w:rFonts w:hint="eastAsia"/>
          <w:color w:val="auto"/>
          <w:sz w:val="24"/>
          <w:szCs w:val="24"/>
          <w:lang/>
        </w:rPr>
        <w:t>环境宜居</w:t>
      </w:r>
      <w:r>
        <w:rPr>
          <w:sz w:val="24"/>
          <w:szCs w:val="24"/>
          <w:lang/>
        </w:rPr>
        <w:tab/>
      </w:r>
      <w:r>
        <w:rPr>
          <w:sz w:val="24"/>
          <w:szCs w:val="24"/>
          <w:lang/>
        </w:rPr>
        <w:fldChar w:fldCharType="begin"/>
      </w:r>
      <w:r>
        <w:rPr>
          <w:sz w:val="24"/>
          <w:szCs w:val="24"/>
          <w:lang/>
        </w:rPr>
        <w:instrText xml:space="preserve"> PAGEREF _Toc24543000 \h </w:instrText>
      </w:r>
      <w:r>
        <w:rPr>
          <w:sz w:val="24"/>
          <w:szCs w:val="24"/>
          <w:lang/>
        </w:rPr>
        <w:fldChar w:fldCharType="separate"/>
      </w:r>
      <w:r>
        <w:rPr>
          <w:sz w:val="24"/>
          <w:szCs w:val="24"/>
          <w:lang/>
        </w:rPr>
        <w:t>24</w:t>
      </w:r>
      <w:r>
        <w:rPr>
          <w:sz w:val="24"/>
          <w:szCs w:val="24"/>
          <w:lang/>
        </w:rPr>
        <w:fldChar w:fldCharType="end"/>
      </w:r>
      <w:r>
        <w:rPr>
          <w:sz w:val="24"/>
          <w:szCs w:val="24"/>
          <w:lang/>
        </w:rPr>
        <w:fldChar w:fldCharType="end"/>
      </w:r>
    </w:p>
    <w:p>
      <w:pPr>
        <w:pStyle w:val="9"/>
        <w:tabs>
          <w:tab w:val="right" w:leader="dot" w:pos="9572"/>
        </w:tabs>
        <w:spacing w:line="360" w:lineRule="auto"/>
        <w:rPr>
          <w:sz w:val="24"/>
          <w:szCs w:val="24"/>
          <w:lang/>
        </w:rPr>
      </w:pPr>
      <w:r>
        <w:rPr>
          <w:sz w:val="24"/>
          <w:szCs w:val="24"/>
          <w:lang/>
        </w:rPr>
        <w:fldChar w:fldCharType="begin"/>
      </w:r>
      <w:r>
        <w:rPr>
          <w:rStyle w:val="16"/>
          <w:color w:val="auto"/>
          <w:sz w:val="24"/>
          <w:szCs w:val="24"/>
          <w:lang/>
        </w:rPr>
        <w:instrText xml:space="preserve"> </w:instrText>
      </w:r>
      <w:r>
        <w:rPr>
          <w:sz w:val="24"/>
          <w:szCs w:val="24"/>
          <w:lang/>
        </w:rPr>
        <w:instrText xml:space="preserve">HYPERLINK \l "_Toc24543001"</w:instrText>
      </w:r>
      <w:r>
        <w:rPr>
          <w:rStyle w:val="16"/>
          <w:color w:val="auto"/>
          <w:sz w:val="24"/>
          <w:szCs w:val="24"/>
          <w:lang/>
        </w:rPr>
        <w:instrText xml:space="preserve"> </w:instrText>
      </w:r>
      <w:r>
        <w:rPr>
          <w:sz w:val="24"/>
          <w:szCs w:val="24"/>
          <w:lang/>
        </w:rPr>
        <w:fldChar w:fldCharType="separate"/>
      </w:r>
      <w:r>
        <w:rPr>
          <w:rStyle w:val="16"/>
          <w:color w:val="auto"/>
          <w:sz w:val="24"/>
          <w:szCs w:val="24"/>
          <w:lang/>
        </w:rPr>
        <w:t>8.1</w:t>
      </w:r>
      <w:r>
        <w:rPr>
          <w:rStyle w:val="16"/>
          <w:rFonts w:hint="eastAsia"/>
          <w:color w:val="auto"/>
          <w:sz w:val="24"/>
          <w:szCs w:val="24"/>
          <w:lang/>
        </w:rPr>
        <w:t>控制项</w:t>
      </w:r>
      <w:r>
        <w:rPr>
          <w:sz w:val="24"/>
          <w:szCs w:val="24"/>
          <w:lang/>
        </w:rPr>
        <w:tab/>
      </w:r>
      <w:r>
        <w:rPr>
          <w:sz w:val="24"/>
          <w:szCs w:val="24"/>
          <w:lang/>
        </w:rPr>
        <w:fldChar w:fldCharType="begin"/>
      </w:r>
      <w:r>
        <w:rPr>
          <w:sz w:val="24"/>
          <w:szCs w:val="24"/>
          <w:lang/>
        </w:rPr>
        <w:instrText xml:space="preserve"> PAGEREF _Toc24543001 \h </w:instrText>
      </w:r>
      <w:r>
        <w:rPr>
          <w:sz w:val="24"/>
          <w:szCs w:val="24"/>
          <w:lang/>
        </w:rPr>
        <w:fldChar w:fldCharType="separate"/>
      </w:r>
      <w:r>
        <w:rPr>
          <w:sz w:val="24"/>
          <w:szCs w:val="24"/>
          <w:lang/>
        </w:rPr>
        <w:t>24</w:t>
      </w:r>
      <w:r>
        <w:rPr>
          <w:sz w:val="24"/>
          <w:szCs w:val="24"/>
          <w:lang/>
        </w:rPr>
        <w:fldChar w:fldCharType="end"/>
      </w:r>
      <w:r>
        <w:rPr>
          <w:sz w:val="24"/>
          <w:szCs w:val="24"/>
          <w:lang/>
        </w:rPr>
        <w:fldChar w:fldCharType="end"/>
      </w:r>
    </w:p>
    <w:p>
      <w:pPr>
        <w:pStyle w:val="9"/>
        <w:tabs>
          <w:tab w:val="right" w:leader="dot" w:pos="9572"/>
        </w:tabs>
        <w:spacing w:line="360" w:lineRule="auto"/>
        <w:rPr>
          <w:sz w:val="24"/>
          <w:szCs w:val="24"/>
          <w:lang/>
        </w:rPr>
      </w:pPr>
      <w:r>
        <w:rPr>
          <w:sz w:val="24"/>
          <w:szCs w:val="24"/>
          <w:lang/>
        </w:rPr>
        <w:fldChar w:fldCharType="begin"/>
      </w:r>
      <w:r>
        <w:rPr>
          <w:rStyle w:val="16"/>
          <w:color w:val="auto"/>
          <w:sz w:val="24"/>
          <w:szCs w:val="24"/>
          <w:lang/>
        </w:rPr>
        <w:instrText xml:space="preserve"> </w:instrText>
      </w:r>
      <w:r>
        <w:rPr>
          <w:sz w:val="24"/>
          <w:szCs w:val="24"/>
          <w:lang/>
        </w:rPr>
        <w:instrText xml:space="preserve">HYPERLINK \l "_Toc24543002"</w:instrText>
      </w:r>
      <w:r>
        <w:rPr>
          <w:rStyle w:val="16"/>
          <w:color w:val="auto"/>
          <w:sz w:val="24"/>
          <w:szCs w:val="24"/>
          <w:lang/>
        </w:rPr>
        <w:instrText xml:space="preserve"> </w:instrText>
      </w:r>
      <w:r>
        <w:rPr>
          <w:sz w:val="24"/>
          <w:szCs w:val="24"/>
          <w:lang/>
        </w:rPr>
        <w:fldChar w:fldCharType="separate"/>
      </w:r>
      <w:r>
        <w:rPr>
          <w:rStyle w:val="16"/>
          <w:color w:val="auto"/>
          <w:sz w:val="24"/>
          <w:szCs w:val="24"/>
          <w:lang/>
        </w:rPr>
        <w:t>8.2</w:t>
      </w:r>
      <w:r>
        <w:rPr>
          <w:rStyle w:val="16"/>
          <w:rFonts w:hint="eastAsia"/>
          <w:color w:val="auto"/>
          <w:sz w:val="24"/>
          <w:szCs w:val="24"/>
          <w:lang/>
        </w:rPr>
        <w:t>评分项</w:t>
      </w:r>
      <w:r>
        <w:rPr>
          <w:sz w:val="24"/>
          <w:szCs w:val="24"/>
          <w:lang/>
        </w:rPr>
        <w:tab/>
      </w:r>
      <w:r>
        <w:rPr>
          <w:sz w:val="24"/>
          <w:szCs w:val="24"/>
          <w:lang/>
        </w:rPr>
        <w:fldChar w:fldCharType="begin"/>
      </w:r>
      <w:r>
        <w:rPr>
          <w:sz w:val="24"/>
          <w:szCs w:val="24"/>
          <w:lang/>
        </w:rPr>
        <w:instrText xml:space="preserve"> PAGEREF _Toc24543002 \h </w:instrText>
      </w:r>
      <w:r>
        <w:rPr>
          <w:sz w:val="24"/>
          <w:szCs w:val="24"/>
          <w:lang/>
        </w:rPr>
        <w:fldChar w:fldCharType="separate"/>
      </w:r>
      <w:r>
        <w:rPr>
          <w:sz w:val="24"/>
          <w:szCs w:val="24"/>
          <w:lang/>
        </w:rPr>
        <w:t>24</w:t>
      </w:r>
      <w:r>
        <w:rPr>
          <w:sz w:val="24"/>
          <w:szCs w:val="24"/>
          <w:lang/>
        </w:rPr>
        <w:fldChar w:fldCharType="end"/>
      </w:r>
      <w:r>
        <w:rPr>
          <w:sz w:val="24"/>
          <w:szCs w:val="24"/>
          <w:lang/>
        </w:rPr>
        <w:fldChar w:fldCharType="end"/>
      </w:r>
    </w:p>
    <w:p>
      <w:pPr>
        <w:pStyle w:val="8"/>
        <w:rPr>
          <w:lang/>
        </w:rPr>
      </w:pPr>
      <w:r>
        <w:rPr>
          <w:sz w:val="24"/>
          <w:szCs w:val="24"/>
          <w:lang/>
        </w:rPr>
        <w:fldChar w:fldCharType="begin"/>
      </w:r>
      <w:r>
        <w:rPr>
          <w:rStyle w:val="16"/>
          <w:color w:val="auto"/>
          <w:sz w:val="24"/>
          <w:szCs w:val="24"/>
          <w:lang/>
        </w:rPr>
        <w:instrText xml:space="preserve"> </w:instrText>
      </w:r>
      <w:r>
        <w:rPr>
          <w:lang/>
        </w:rPr>
        <w:instrText xml:space="preserve">HYPERLINK \l "_Toc24543003"</w:instrText>
      </w:r>
      <w:r>
        <w:rPr>
          <w:rStyle w:val="16"/>
          <w:color w:val="auto"/>
          <w:sz w:val="24"/>
          <w:szCs w:val="24"/>
          <w:lang/>
        </w:rPr>
        <w:instrText xml:space="preserve"> </w:instrText>
      </w:r>
      <w:r>
        <w:rPr>
          <w:sz w:val="24"/>
          <w:szCs w:val="24"/>
          <w:lang/>
        </w:rPr>
        <w:fldChar w:fldCharType="separate"/>
      </w:r>
      <w:r>
        <w:rPr>
          <w:rStyle w:val="16"/>
          <w:color w:val="auto"/>
          <w:sz w:val="24"/>
          <w:szCs w:val="24"/>
          <w:lang/>
        </w:rPr>
        <w:t xml:space="preserve">9 </w:t>
      </w:r>
      <w:r>
        <w:rPr>
          <w:rStyle w:val="16"/>
          <w:rFonts w:hint="eastAsia"/>
          <w:color w:val="auto"/>
          <w:sz w:val="24"/>
          <w:szCs w:val="24"/>
          <w:lang/>
        </w:rPr>
        <w:t>提高与创新</w:t>
      </w:r>
      <w:r>
        <w:rPr>
          <w:sz w:val="24"/>
          <w:szCs w:val="24"/>
          <w:lang/>
        </w:rPr>
        <w:tab/>
      </w:r>
      <w:r>
        <w:rPr>
          <w:sz w:val="24"/>
          <w:szCs w:val="24"/>
          <w:lang/>
        </w:rPr>
        <w:fldChar w:fldCharType="begin"/>
      </w:r>
      <w:r>
        <w:rPr>
          <w:sz w:val="24"/>
          <w:szCs w:val="24"/>
          <w:lang/>
        </w:rPr>
        <w:instrText xml:space="preserve"> PAGEREF _Toc24543003 \h </w:instrText>
      </w:r>
      <w:r>
        <w:rPr>
          <w:sz w:val="24"/>
          <w:szCs w:val="24"/>
          <w:lang/>
        </w:rPr>
        <w:fldChar w:fldCharType="separate"/>
      </w:r>
      <w:r>
        <w:rPr>
          <w:sz w:val="24"/>
          <w:szCs w:val="24"/>
          <w:lang/>
        </w:rPr>
        <w:t>27</w:t>
      </w:r>
      <w:r>
        <w:rPr>
          <w:sz w:val="24"/>
          <w:szCs w:val="24"/>
          <w:lang/>
        </w:rPr>
        <w:fldChar w:fldCharType="end"/>
      </w:r>
      <w:r>
        <w:rPr>
          <w:sz w:val="24"/>
          <w:szCs w:val="24"/>
          <w:lang/>
        </w:rPr>
        <w:fldChar w:fldCharType="end"/>
      </w:r>
    </w:p>
    <w:p>
      <w:pPr>
        <w:pStyle w:val="9"/>
        <w:tabs>
          <w:tab w:val="right" w:leader="dot" w:pos="9572"/>
        </w:tabs>
        <w:spacing w:line="360" w:lineRule="auto"/>
        <w:rPr>
          <w:sz w:val="24"/>
          <w:szCs w:val="24"/>
          <w:lang/>
        </w:rPr>
      </w:pPr>
      <w:r>
        <w:rPr>
          <w:sz w:val="24"/>
          <w:szCs w:val="24"/>
          <w:lang/>
        </w:rPr>
        <w:fldChar w:fldCharType="begin"/>
      </w:r>
      <w:r>
        <w:rPr>
          <w:rStyle w:val="16"/>
          <w:color w:val="auto"/>
          <w:sz w:val="24"/>
          <w:szCs w:val="24"/>
          <w:lang/>
        </w:rPr>
        <w:instrText xml:space="preserve"> </w:instrText>
      </w:r>
      <w:r>
        <w:rPr>
          <w:sz w:val="24"/>
          <w:szCs w:val="24"/>
          <w:lang/>
        </w:rPr>
        <w:instrText xml:space="preserve">HYPERLINK \l "_Toc24543004"</w:instrText>
      </w:r>
      <w:r>
        <w:rPr>
          <w:rStyle w:val="16"/>
          <w:color w:val="auto"/>
          <w:sz w:val="24"/>
          <w:szCs w:val="24"/>
          <w:lang/>
        </w:rPr>
        <w:instrText xml:space="preserve"> </w:instrText>
      </w:r>
      <w:r>
        <w:rPr>
          <w:sz w:val="24"/>
          <w:szCs w:val="24"/>
          <w:lang/>
        </w:rPr>
        <w:fldChar w:fldCharType="separate"/>
      </w:r>
      <w:r>
        <w:rPr>
          <w:rStyle w:val="16"/>
          <w:color w:val="auto"/>
          <w:sz w:val="24"/>
          <w:szCs w:val="24"/>
          <w:lang/>
        </w:rPr>
        <w:t>9.1</w:t>
      </w:r>
      <w:r>
        <w:rPr>
          <w:rStyle w:val="16"/>
          <w:rFonts w:hint="eastAsia"/>
          <w:color w:val="auto"/>
          <w:sz w:val="24"/>
          <w:szCs w:val="24"/>
          <w:lang/>
        </w:rPr>
        <w:t>一般规定</w:t>
      </w:r>
      <w:r>
        <w:rPr>
          <w:sz w:val="24"/>
          <w:szCs w:val="24"/>
          <w:lang/>
        </w:rPr>
        <w:tab/>
      </w:r>
      <w:r>
        <w:rPr>
          <w:sz w:val="24"/>
          <w:szCs w:val="24"/>
          <w:lang/>
        </w:rPr>
        <w:fldChar w:fldCharType="begin"/>
      </w:r>
      <w:r>
        <w:rPr>
          <w:sz w:val="24"/>
          <w:szCs w:val="24"/>
          <w:lang/>
        </w:rPr>
        <w:instrText xml:space="preserve"> PAGEREF _Toc24543004 \h </w:instrText>
      </w:r>
      <w:r>
        <w:rPr>
          <w:sz w:val="24"/>
          <w:szCs w:val="24"/>
          <w:lang/>
        </w:rPr>
        <w:fldChar w:fldCharType="separate"/>
      </w:r>
      <w:r>
        <w:rPr>
          <w:sz w:val="24"/>
          <w:szCs w:val="24"/>
          <w:lang/>
        </w:rPr>
        <w:t>27</w:t>
      </w:r>
      <w:r>
        <w:rPr>
          <w:sz w:val="24"/>
          <w:szCs w:val="24"/>
          <w:lang/>
        </w:rPr>
        <w:fldChar w:fldCharType="end"/>
      </w:r>
      <w:r>
        <w:rPr>
          <w:sz w:val="24"/>
          <w:szCs w:val="24"/>
          <w:lang/>
        </w:rPr>
        <w:fldChar w:fldCharType="end"/>
      </w:r>
    </w:p>
    <w:p>
      <w:pPr>
        <w:pStyle w:val="9"/>
        <w:tabs>
          <w:tab w:val="right" w:leader="dot" w:pos="9572"/>
        </w:tabs>
        <w:spacing w:line="360" w:lineRule="auto"/>
        <w:rPr>
          <w:sz w:val="24"/>
          <w:szCs w:val="24"/>
          <w:lang/>
        </w:rPr>
      </w:pPr>
      <w:r>
        <w:rPr>
          <w:sz w:val="24"/>
          <w:szCs w:val="24"/>
          <w:lang/>
        </w:rPr>
        <w:fldChar w:fldCharType="begin"/>
      </w:r>
      <w:r>
        <w:rPr>
          <w:rStyle w:val="16"/>
          <w:color w:val="auto"/>
          <w:sz w:val="24"/>
          <w:szCs w:val="24"/>
          <w:lang/>
        </w:rPr>
        <w:instrText xml:space="preserve"> </w:instrText>
      </w:r>
      <w:r>
        <w:rPr>
          <w:sz w:val="24"/>
          <w:szCs w:val="24"/>
          <w:lang/>
        </w:rPr>
        <w:instrText xml:space="preserve">HYPERLINK \l "_Toc24543005"</w:instrText>
      </w:r>
      <w:r>
        <w:rPr>
          <w:rStyle w:val="16"/>
          <w:color w:val="auto"/>
          <w:sz w:val="24"/>
          <w:szCs w:val="24"/>
          <w:lang/>
        </w:rPr>
        <w:instrText xml:space="preserve"> </w:instrText>
      </w:r>
      <w:r>
        <w:rPr>
          <w:sz w:val="24"/>
          <w:szCs w:val="24"/>
          <w:lang/>
        </w:rPr>
        <w:fldChar w:fldCharType="separate"/>
      </w:r>
      <w:r>
        <w:rPr>
          <w:rStyle w:val="16"/>
          <w:color w:val="auto"/>
          <w:sz w:val="24"/>
          <w:szCs w:val="24"/>
          <w:lang/>
        </w:rPr>
        <w:t>9.2</w:t>
      </w:r>
      <w:r>
        <w:rPr>
          <w:rStyle w:val="16"/>
          <w:rFonts w:hint="eastAsia"/>
          <w:color w:val="auto"/>
          <w:sz w:val="24"/>
          <w:szCs w:val="24"/>
          <w:lang/>
        </w:rPr>
        <w:t>加分项</w:t>
      </w:r>
      <w:r>
        <w:rPr>
          <w:sz w:val="24"/>
          <w:szCs w:val="24"/>
          <w:lang/>
        </w:rPr>
        <w:tab/>
      </w:r>
      <w:r>
        <w:rPr>
          <w:sz w:val="24"/>
          <w:szCs w:val="24"/>
          <w:lang/>
        </w:rPr>
        <w:fldChar w:fldCharType="begin"/>
      </w:r>
      <w:r>
        <w:rPr>
          <w:sz w:val="24"/>
          <w:szCs w:val="24"/>
          <w:lang/>
        </w:rPr>
        <w:instrText xml:space="preserve"> PAGEREF _Toc24543005 \h </w:instrText>
      </w:r>
      <w:r>
        <w:rPr>
          <w:sz w:val="24"/>
          <w:szCs w:val="24"/>
          <w:lang/>
        </w:rPr>
        <w:fldChar w:fldCharType="separate"/>
      </w:r>
      <w:r>
        <w:rPr>
          <w:sz w:val="24"/>
          <w:szCs w:val="24"/>
          <w:lang/>
        </w:rPr>
        <w:t>27</w:t>
      </w:r>
      <w:r>
        <w:rPr>
          <w:sz w:val="24"/>
          <w:szCs w:val="24"/>
          <w:lang/>
        </w:rPr>
        <w:fldChar w:fldCharType="end"/>
      </w:r>
      <w:r>
        <w:rPr>
          <w:sz w:val="24"/>
          <w:szCs w:val="24"/>
          <w:lang/>
        </w:rPr>
        <w:fldChar w:fldCharType="end"/>
      </w:r>
    </w:p>
    <w:p>
      <w:pPr>
        <w:pStyle w:val="8"/>
        <w:rPr>
          <w:lang/>
        </w:rPr>
      </w:pPr>
      <w:r>
        <w:rPr>
          <w:sz w:val="24"/>
          <w:szCs w:val="24"/>
          <w:lang/>
        </w:rPr>
        <w:fldChar w:fldCharType="begin"/>
      </w:r>
      <w:r>
        <w:rPr>
          <w:rStyle w:val="16"/>
          <w:color w:val="auto"/>
          <w:sz w:val="24"/>
          <w:szCs w:val="24"/>
          <w:lang/>
        </w:rPr>
        <w:instrText xml:space="preserve"> </w:instrText>
      </w:r>
      <w:r>
        <w:rPr>
          <w:lang/>
        </w:rPr>
        <w:instrText xml:space="preserve">HYPERLINK \l "_Toc24543006"</w:instrText>
      </w:r>
      <w:r>
        <w:rPr>
          <w:rStyle w:val="16"/>
          <w:color w:val="auto"/>
          <w:sz w:val="24"/>
          <w:szCs w:val="24"/>
          <w:lang/>
        </w:rPr>
        <w:instrText xml:space="preserve"> </w:instrText>
      </w:r>
      <w:r>
        <w:rPr>
          <w:sz w:val="24"/>
          <w:szCs w:val="24"/>
          <w:lang/>
        </w:rPr>
        <w:fldChar w:fldCharType="separate"/>
      </w:r>
      <w:r>
        <w:rPr>
          <w:rStyle w:val="16"/>
          <w:rFonts w:hint="eastAsia"/>
          <w:color w:val="auto"/>
          <w:sz w:val="24"/>
          <w:szCs w:val="24"/>
          <w:lang/>
        </w:rPr>
        <w:t>本标准用</w:t>
      </w:r>
      <w:bookmarkStart w:id="7" w:name="_Hlt32581587"/>
      <w:bookmarkStart w:id="8" w:name="_Hlt32581588"/>
      <w:r>
        <w:rPr>
          <w:rStyle w:val="16"/>
          <w:rFonts w:hint="eastAsia"/>
          <w:color w:val="auto"/>
          <w:sz w:val="24"/>
          <w:szCs w:val="24"/>
          <w:lang/>
        </w:rPr>
        <w:t>词</w:t>
      </w:r>
      <w:bookmarkEnd w:id="7"/>
      <w:bookmarkEnd w:id="8"/>
      <w:r>
        <w:rPr>
          <w:rStyle w:val="16"/>
          <w:rFonts w:hint="eastAsia"/>
          <w:color w:val="auto"/>
          <w:sz w:val="24"/>
          <w:szCs w:val="24"/>
          <w:lang/>
        </w:rPr>
        <w:t>说明</w:t>
      </w:r>
      <w:r>
        <w:rPr>
          <w:lang/>
        </w:rPr>
        <w:tab/>
      </w:r>
      <w:r>
        <w:rPr>
          <w:sz w:val="24"/>
          <w:szCs w:val="24"/>
          <w:lang/>
        </w:rPr>
        <w:fldChar w:fldCharType="begin"/>
      </w:r>
      <w:r>
        <w:rPr>
          <w:sz w:val="24"/>
          <w:szCs w:val="24"/>
          <w:lang/>
        </w:rPr>
        <w:instrText xml:space="preserve"> PAGEREF _Toc24543006 \h </w:instrText>
      </w:r>
      <w:r>
        <w:rPr>
          <w:sz w:val="24"/>
          <w:szCs w:val="24"/>
          <w:lang/>
        </w:rPr>
        <w:fldChar w:fldCharType="separate"/>
      </w:r>
      <w:r>
        <w:rPr>
          <w:sz w:val="24"/>
          <w:szCs w:val="24"/>
          <w:lang/>
        </w:rPr>
        <w:t>29</w:t>
      </w:r>
      <w:r>
        <w:rPr>
          <w:sz w:val="24"/>
          <w:szCs w:val="24"/>
          <w:lang/>
        </w:rPr>
        <w:fldChar w:fldCharType="end"/>
      </w:r>
      <w:r>
        <w:rPr>
          <w:sz w:val="24"/>
          <w:szCs w:val="24"/>
          <w:lang/>
        </w:rPr>
        <w:fldChar w:fldCharType="end"/>
      </w:r>
    </w:p>
    <w:p>
      <w:pPr>
        <w:pStyle w:val="8"/>
        <w:rPr>
          <w:lang/>
        </w:rPr>
      </w:pPr>
      <w:r>
        <w:rPr>
          <w:sz w:val="24"/>
          <w:szCs w:val="24"/>
          <w:lang/>
        </w:rPr>
        <w:fldChar w:fldCharType="begin"/>
      </w:r>
      <w:r>
        <w:rPr>
          <w:rStyle w:val="16"/>
          <w:color w:val="auto"/>
          <w:sz w:val="24"/>
          <w:szCs w:val="24"/>
          <w:lang/>
        </w:rPr>
        <w:instrText xml:space="preserve"> </w:instrText>
      </w:r>
      <w:r>
        <w:rPr>
          <w:lang/>
        </w:rPr>
        <w:instrText xml:space="preserve">HYPERLINK \l "_Toc24543007"</w:instrText>
      </w:r>
      <w:r>
        <w:rPr>
          <w:rStyle w:val="16"/>
          <w:color w:val="auto"/>
          <w:sz w:val="24"/>
          <w:szCs w:val="24"/>
          <w:lang/>
        </w:rPr>
        <w:instrText xml:space="preserve"> </w:instrText>
      </w:r>
      <w:r>
        <w:rPr>
          <w:sz w:val="24"/>
          <w:szCs w:val="24"/>
          <w:lang/>
        </w:rPr>
        <w:fldChar w:fldCharType="separate"/>
      </w:r>
      <w:r>
        <w:rPr>
          <w:rStyle w:val="16"/>
          <w:rFonts w:hint="eastAsia"/>
          <w:color w:val="auto"/>
          <w:sz w:val="24"/>
          <w:szCs w:val="24"/>
          <w:lang/>
        </w:rPr>
        <w:t>引用标准名录</w:t>
      </w:r>
      <w:r>
        <w:rPr>
          <w:lang/>
        </w:rPr>
        <w:tab/>
      </w:r>
      <w:r>
        <w:rPr>
          <w:sz w:val="24"/>
          <w:szCs w:val="24"/>
          <w:lang/>
        </w:rPr>
        <w:fldChar w:fldCharType="begin"/>
      </w:r>
      <w:r>
        <w:rPr>
          <w:sz w:val="24"/>
          <w:szCs w:val="24"/>
          <w:lang/>
        </w:rPr>
        <w:instrText xml:space="preserve"> PAGEREF _Toc24543007 \h </w:instrText>
      </w:r>
      <w:r>
        <w:rPr>
          <w:sz w:val="24"/>
          <w:szCs w:val="24"/>
          <w:lang/>
        </w:rPr>
        <w:fldChar w:fldCharType="separate"/>
      </w:r>
      <w:r>
        <w:rPr>
          <w:sz w:val="24"/>
          <w:szCs w:val="24"/>
          <w:lang/>
        </w:rPr>
        <w:t>30</w:t>
      </w:r>
      <w:r>
        <w:rPr>
          <w:sz w:val="24"/>
          <w:szCs w:val="24"/>
          <w:lang/>
        </w:rPr>
        <w:fldChar w:fldCharType="end"/>
      </w:r>
      <w:r>
        <w:rPr>
          <w:sz w:val="24"/>
          <w:szCs w:val="24"/>
          <w:lang/>
        </w:rPr>
        <w:fldChar w:fldCharType="end"/>
      </w:r>
    </w:p>
    <w:p>
      <w:pPr>
        <w:pStyle w:val="8"/>
        <w:rPr>
          <w:lang/>
        </w:rPr>
      </w:pPr>
      <w:r>
        <w:rPr>
          <w:sz w:val="24"/>
          <w:szCs w:val="24"/>
          <w:lang/>
        </w:rPr>
        <w:fldChar w:fldCharType="begin"/>
      </w:r>
      <w:r>
        <w:rPr>
          <w:rStyle w:val="16"/>
          <w:color w:val="auto"/>
          <w:sz w:val="24"/>
          <w:szCs w:val="24"/>
          <w:lang/>
        </w:rPr>
        <w:instrText xml:space="preserve"> </w:instrText>
      </w:r>
      <w:r>
        <w:rPr>
          <w:lang/>
        </w:rPr>
        <w:instrText xml:space="preserve">HYPERLINK \l "_Toc24543008"</w:instrText>
      </w:r>
      <w:r>
        <w:rPr>
          <w:rStyle w:val="16"/>
          <w:color w:val="auto"/>
          <w:sz w:val="24"/>
          <w:szCs w:val="24"/>
          <w:lang/>
        </w:rPr>
        <w:instrText xml:space="preserve"> </w:instrText>
      </w:r>
      <w:r>
        <w:rPr>
          <w:sz w:val="24"/>
          <w:szCs w:val="24"/>
          <w:lang/>
        </w:rPr>
        <w:fldChar w:fldCharType="separate"/>
      </w:r>
      <w:r>
        <w:rPr>
          <w:rStyle w:val="16"/>
          <w:rFonts w:hint="eastAsia"/>
          <w:color w:val="auto"/>
          <w:sz w:val="24"/>
          <w:szCs w:val="24"/>
          <w:lang/>
        </w:rPr>
        <w:t>条</w:t>
      </w:r>
      <w:r>
        <w:rPr>
          <w:rStyle w:val="16"/>
          <w:color w:val="auto"/>
          <w:sz w:val="24"/>
          <w:szCs w:val="24"/>
          <w:lang/>
        </w:rPr>
        <w:t xml:space="preserve"> </w:t>
      </w:r>
      <w:r>
        <w:rPr>
          <w:rStyle w:val="16"/>
          <w:rFonts w:hint="eastAsia"/>
          <w:color w:val="auto"/>
          <w:sz w:val="24"/>
          <w:szCs w:val="24"/>
          <w:lang/>
        </w:rPr>
        <w:t>文</w:t>
      </w:r>
      <w:r>
        <w:rPr>
          <w:rStyle w:val="16"/>
          <w:color w:val="auto"/>
          <w:sz w:val="24"/>
          <w:szCs w:val="24"/>
          <w:lang/>
        </w:rPr>
        <w:t xml:space="preserve"> </w:t>
      </w:r>
      <w:r>
        <w:rPr>
          <w:rStyle w:val="16"/>
          <w:rFonts w:hint="eastAsia"/>
          <w:color w:val="auto"/>
          <w:sz w:val="24"/>
          <w:szCs w:val="24"/>
          <w:lang/>
        </w:rPr>
        <w:t>说</w:t>
      </w:r>
      <w:bookmarkStart w:id="9" w:name="_Hlt32928902"/>
      <w:bookmarkStart w:id="10" w:name="_Hlt32928903"/>
      <w:r>
        <w:rPr>
          <w:rStyle w:val="16"/>
          <w:color w:val="auto"/>
          <w:sz w:val="24"/>
          <w:szCs w:val="24"/>
          <w:lang/>
        </w:rPr>
        <w:t xml:space="preserve"> </w:t>
      </w:r>
      <w:bookmarkEnd w:id="9"/>
      <w:bookmarkEnd w:id="10"/>
      <w:bookmarkStart w:id="11" w:name="_Hlt32927802"/>
      <w:bookmarkStart w:id="12" w:name="_Hlt32927803"/>
      <w:r>
        <w:rPr>
          <w:rStyle w:val="16"/>
          <w:rFonts w:hint="eastAsia"/>
          <w:color w:val="auto"/>
          <w:sz w:val="24"/>
          <w:szCs w:val="24"/>
          <w:lang/>
        </w:rPr>
        <w:t>明</w:t>
      </w:r>
      <w:bookmarkEnd w:id="11"/>
      <w:bookmarkEnd w:id="12"/>
      <w:r>
        <w:rPr>
          <w:lang/>
        </w:rPr>
        <w:tab/>
      </w:r>
      <w:r>
        <w:rPr>
          <w:sz w:val="24"/>
          <w:szCs w:val="24"/>
          <w:lang/>
        </w:rPr>
        <w:fldChar w:fldCharType="begin"/>
      </w:r>
      <w:r>
        <w:rPr>
          <w:sz w:val="24"/>
          <w:szCs w:val="24"/>
          <w:lang/>
        </w:rPr>
        <w:instrText xml:space="preserve"> PAGEREF _Toc24543008 \h </w:instrText>
      </w:r>
      <w:r>
        <w:rPr>
          <w:sz w:val="24"/>
          <w:szCs w:val="24"/>
          <w:lang/>
        </w:rPr>
        <w:fldChar w:fldCharType="separate"/>
      </w:r>
      <w:r>
        <w:rPr>
          <w:sz w:val="24"/>
          <w:szCs w:val="24"/>
          <w:lang/>
        </w:rPr>
        <w:t>31</w:t>
      </w:r>
      <w:r>
        <w:rPr>
          <w:sz w:val="24"/>
          <w:szCs w:val="24"/>
          <w:lang/>
        </w:rPr>
        <w:fldChar w:fldCharType="end"/>
      </w:r>
      <w:r>
        <w:rPr>
          <w:sz w:val="24"/>
          <w:szCs w:val="24"/>
          <w:lang/>
        </w:rPr>
        <w:fldChar w:fldCharType="end"/>
      </w:r>
    </w:p>
    <w:p>
      <w:pPr>
        <w:pStyle w:val="8"/>
        <w:rPr>
          <w:rFonts w:hint="eastAsia"/>
          <w:b/>
          <w:lang w:val="zh-CN"/>
        </w:rPr>
      </w:pPr>
      <w:r>
        <w:rPr>
          <w:b/>
          <w:lang w:val="zh-CN"/>
        </w:rPr>
        <w:fldChar w:fldCharType="end"/>
      </w:r>
      <w:r>
        <w:rPr>
          <w:b/>
          <w:lang w:val="zh-CN"/>
        </w:rPr>
        <w:br w:type="page"/>
      </w:r>
    </w:p>
    <w:p>
      <w:pPr>
        <w:pStyle w:val="8"/>
        <w:rPr>
          <w:rFonts w:hint="eastAsia"/>
          <w:b/>
        </w:rPr>
      </w:pPr>
      <w:r>
        <w:t>Contents</w:t>
      </w:r>
    </w:p>
    <w:p>
      <w:pPr>
        <w:spacing w:line="360" w:lineRule="auto"/>
        <w:rPr>
          <w:bCs/>
          <w:sz w:val="24"/>
          <w:szCs w:val="24"/>
        </w:rPr>
        <w:sectPr>
          <w:footerReference r:id="rId3" w:type="default"/>
          <w:pgSz w:w="11907" w:h="16839"/>
          <w:pgMar w:top="851" w:right="907" w:bottom="851" w:left="1418" w:header="851" w:footer="851" w:gutter="0"/>
          <w:pgNumType w:start="1"/>
          <w:cols w:space="720" w:num="1"/>
          <w:docGrid w:type="lines" w:linePitch="312" w:charSpace="0"/>
        </w:sectPr>
      </w:pPr>
    </w:p>
    <w:p>
      <w:pPr>
        <w:pStyle w:val="8"/>
        <w:rPr>
          <w:rStyle w:val="16"/>
          <w:color w:val="auto"/>
          <w:sz w:val="24"/>
          <w:szCs w:val="24"/>
          <w:lang/>
        </w:rPr>
      </w:pPr>
    </w:p>
    <w:p>
      <w:pPr>
        <w:pStyle w:val="8"/>
        <w:rPr>
          <w:sz w:val="24"/>
          <w:szCs w:val="24"/>
          <w:lang/>
        </w:rPr>
      </w:pPr>
      <w:r>
        <w:rPr>
          <w:sz w:val="24"/>
          <w:szCs w:val="24"/>
          <w:lang/>
        </w:rPr>
        <w:fldChar w:fldCharType="begin"/>
      </w:r>
      <w:r>
        <w:rPr>
          <w:sz w:val="24"/>
          <w:szCs w:val="24"/>
          <w:lang/>
        </w:rPr>
        <w:instrText xml:space="preserve">HYPERLINK \l "_Toc404896057"</w:instrText>
      </w:r>
      <w:r>
        <w:rPr>
          <w:sz w:val="24"/>
          <w:szCs w:val="24"/>
          <w:lang/>
        </w:rPr>
        <w:fldChar w:fldCharType="separate"/>
      </w:r>
      <w:r>
        <w:rPr>
          <w:sz w:val="24"/>
          <w:szCs w:val="24"/>
        </w:rPr>
        <w:t xml:space="preserve">1 </w:t>
      </w:r>
      <w:r>
        <w:rPr>
          <w:sz w:val="24"/>
          <w:szCs w:val="24"/>
          <w:lang/>
        </w:rPr>
        <w:t>General Provisions</w:t>
      </w:r>
      <w:r>
        <w:rPr>
          <w:sz w:val="24"/>
          <w:szCs w:val="24"/>
          <w:lang/>
        </w:rPr>
        <w:tab/>
      </w:r>
      <w:r>
        <w:rPr>
          <w:sz w:val="24"/>
          <w:szCs w:val="24"/>
          <w:lang/>
        </w:rPr>
        <w:t>1</w:t>
      </w:r>
      <w:r>
        <w:rPr>
          <w:sz w:val="24"/>
          <w:szCs w:val="24"/>
          <w:lang/>
        </w:rPr>
        <w:fldChar w:fldCharType="end"/>
      </w:r>
    </w:p>
    <w:p>
      <w:pPr>
        <w:pStyle w:val="8"/>
        <w:rPr>
          <w:sz w:val="24"/>
          <w:szCs w:val="24"/>
          <w:lang/>
        </w:rPr>
      </w:pPr>
      <w:r>
        <w:rPr>
          <w:sz w:val="24"/>
          <w:szCs w:val="24"/>
          <w:lang/>
        </w:rPr>
        <w:fldChar w:fldCharType="begin"/>
      </w:r>
      <w:r>
        <w:rPr>
          <w:sz w:val="24"/>
          <w:szCs w:val="24"/>
          <w:lang/>
        </w:rPr>
        <w:instrText xml:space="preserve">HYPERLINK \l "_Toc404896058"</w:instrText>
      </w:r>
      <w:r>
        <w:rPr>
          <w:sz w:val="24"/>
          <w:szCs w:val="24"/>
          <w:lang/>
        </w:rPr>
        <w:fldChar w:fldCharType="separate"/>
      </w:r>
      <w:r>
        <w:rPr>
          <w:sz w:val="24"/>
          <w:szCs w:val="24"/>
        </w:rPr>
        <w:t>2</w:t>
      </w:r>
      <w:r>
        <w:rPr>
          <w:sz w:val="24"/>
          <w:szCs w:val="24"/>
          <w:lang/>
        </w:rPr>
        <w:t xml:space="preserve"> Terms</w:t>
      </w:r>
      <w:r>
        <w:rPr>
          <w:sz w:val="24"/>
          <w:szCs w:val="24"/>
          <w:lang/>
        </w:rPr>
        <w:tab/>
      </w:r>
      <w:r>
        <w:rPr>
          <w:sz w:val="24"/>
          <w:szCs w:val="24"/>
          <w:lang/>
        </w:rPr>
        <w:t>2</w:t>
      </w:r>
      <w:r>
        <w:rPr>
          <w:sz w:val="24"/>
          <w:szCs w:val="24"/>
          <w:lang/>
        </w:rPr>
        <w:fldChar w:fldCharType="end"/>
      </w:r>
    </w:p>
    <w:p>
      <w:pPr>
        <w:pStyle w:val="8"/>
        <w:rPr>
          <w:sz w:val="24"/>
          <w:szCs w:val="24"/>
          <w:lang/>
        </w:rPr>
      </w:pPr>
      <w:r>
        <w:rPr>
          <w:sz w:val="24"/>
          <w:szCs w:val="24"/>
          <w:lang/>
        </w:rPr>
        <w:fldChar w:fldCharType="begin"/>
      </w:r>
      <w:r>
        <w:rPr>
          <w:sz w:val="24"/>
          <w:szCs w:val="24"/>
          <w:lang/>
        </w:rPr>
        <w:instrText xml:space="preserve">HYPERLINK \l "_Toc404896059"</w:instrText>
      </w:r>
      <w:r>
        <w:rPr>
          <w:sz w:val="24"/>
          <w:szCs w:val="24"/>
          <w:lang/>
        </w:rPr>
        <w:fldChar w:fldCharType="separate"/>
      </w:r>
      <w:r>
        <w:rPr>
          <w:sz w:val="24"/>
          <w:szCs w:val="24"/>
        </w:rPr>
        <w:t>3</w:t>
      </w:r>
      <w:r>
        <w:rPr>
          <w:sz w:val="24"/>
          <w:szCs w:val="24"/>
          <w:lang/>
        </w:rPr>
        <w:t xml:space="preserve"> Basic Requirements</w:t>
      </w:r>
      <w:r>
        <w:rPr>
          <w:sz w:val="24"/>
          <w:szCs w:val="24"/>
          <w:lang/>
        </w:rPr>
        <w:tab/>
      </w:r>
      <w:r>
        <w:rPr>
          <w:sz w:val="24"/>
          <w:szCs w:val="24"/>
          <w:lang/>
        </w:rPr>
        <w:t>4</w:t>
      </w:r>
      <w:r>
        <w:rPr>
          <w:sz w:val="24"/>
          <w:szCs w:val="24"/>
          <w:lang/>
        </w:rPr>
        <w:fldChar w:fldCharType="end"/>
      </w:r>
    </w:p>
    <w:p>
      <w:pPr>
        <w:pStyle w:val="8"/>
        <w:rPr>
          <w:sz w:val="24"/>
          <w:szCs w:val="24"/>
          <w:lang/>
        </w:rPr>
      </w:pPr>
      <w:r>
        <w:rPr>
          <w:rFonts w:hint="eastAsia"/>
          <w:sz w:val="24"/>
          <w:szCs w:val="24"/>
          <w:lang/>
        </w:rPr>
        <w:t xml:space="preserve">  </w:t>
      </w:r>
      <w:r>
        <w:rPr>
          <w:sz w:val="24"/>
          <w:szCs w:val="24"/>
          <w:lang/>
        </w:rPr>
        <w:fldChar w:fldCharType="begin"/>
      </w:r>
      <w:r>
        <w:rPr>
          <w:sz w:val="24"/>
          <w:szCs w:val="24"/>
          <w:lang/>
        </w:rPr>
        <w:instrText xml:space="preserve">HYPERLINK \l "_Toc404896060"</w:instrText>
      </w:r>
      <w:r>
        <w:rPr>
          <w:sz w:val="24"/>
          <w:szCs w:val="24"/>
          <w:lang/>
        </w:rPr>
        <w:fldChar w:fldCharType="separate"/>
      </w:r>
      <w:r>
        <w:rPr>
          <w:sz w:val="24"/>
          <w:szCs w:val="24"/>
          <w:lang/>
        </w:rPr>
        <w:t>3.1</w:t>
      </w:r>
      <w:r>
        <w:rPr>
          <w:rFonts w:hint="eastAsia"/>
          <w:sz w:val="24"/>
          <w:szCs w:val="24"/>
          <w:lang/>
        </w:rPr>
        <w:t xml:space="preserve"> </w:t>
      </w:r>
      <w:r>
        <w:rPr>
          <w:sz w:val="24"/>
          <w:szCs w:val="24"/>
          <w:lang/>
        </w:rPr>
        <w:t>General Requirements</w:t>
      </w:r>
      <w:r>
        <w:rPr>
          <w:sz w:val="24"/>
          <w:szCs w:val="24"/>
          <w:lang/>
        </w:rPr>
        <w:tab/>
      </w:r>
      <w:r>
        <w:rPr>
          <w:sz w:val="24"/>
          <w:szCs w:val="24"/>
          <w:lang/>
        </w:rPr>
        <w:t>4</w:t>
      </w:r>
      <w:r>
        <w:rPr>
          <w:sz w:val="24"/>
          <w:szCs w:val="24"/>
          <w:lang/>
        </w:rPr>
        <w:fldChar w:fldCharType="end"/>
      </w:r>
    </w:p>
    <w:p>
      <w:pPr>
        <w:pStyle w:val="8"/>
        <w:rPr>
          <w:sz w:val="24"/>
          <w:szCs w:val="24"/>
          <w:lang/>
        </w:rPr>
      </w:pPr>
      <w:r>
        <w:rPr>
          <w:rFonts w:hint="eastAsia"/>
          <w:sz w:val="24"/>
          <w:szCs w:val="24"/>
          <w:lang/>
        </w:rPr>
        <w:t xml:space="preserve">  </w:t>
      </w:r>
      <w:r>
        <w:rPr>
          <w:sz w:val="24"/>
          <w:szCs w:val="24"/>
          <w:lang/>
        </w:rPr>
        <w:fldChar w:fldCharType="begin"/>
      </w:r>
      <w:r>
        <w:rPr>
          <w:sz w:val="24"/>
          <w:szCs w:val="24"/>
          <w:lang/>
        </w:rPr>
        <w:instrText xml:space="preserve">HYPERLINK \l "_Toc404896061"</w:instrText>
      </w:r>
      <w:r>
        <w:rPr>
          <w:sz w:val="24"/>
          <w:szCs w:val="24"/>
          <w:lang/>
        </w:rPr>
        <w:fldChar w:fldCharType="separate"/>
      </w:r>
      <w:r>
        <w:rPr>
          <w:sz w:val="24"/>
          <w:szCs w:val="24"/>
        </w:rPr>
        <w:t>3.2</w:t>
      </w:r>
      <w:r>
        <w:rPr>
          <w:rFonts w:hint="eastAsia"/>
          <w:sz w:val="24"/>
          <w:szCs w:val="24"/>
          <w:lang/>
        </w:rPr>
        <w:t xml:space="preserve"> </w:t>
      </w:r>
      <w:r>
        <w:rPr>
          <w:sz w:val="24"/>
          <w:szCs w:val="24"/>
          <w:lang/>
        </w:rPr>
        <w:t>Assessment and Rating</w:t>
      </w:r>
      <w:r>
        <w:rPr>
          <w:sz w:val="24"/>
          <w:szCs w:val="24"/>
          <w:lang/>
        </w:rPr>
        <w:tab/>
      </w:r>
      <w:r>
        <w:rPr>
          <w:sz w:val="24"/>
          <w:szCs w:val="24"/>
          <w:lang/>
        </w:rPr>
        <w:t>4</w:t>
      </w:r>
      <w:r>
        <w:rPr>
          <w:sz w:val="24"/>
          <w:szCs w:val="24"/>
          <w:lang/>
        </w:rPr>
        <w:fldChar w:fldCharType="end"/>
      </w:r>
    </w:p>
    <w:p>
      <w:pPr>
        <w:pStyle w:val="8"/>
        <w:rPr>
          <w:sz w:val="24"/>
          <w:szCs w:val="24"/>
          <w:lang/>
        </w:rPr>
      </w:pPr>
      <w:r>
        <w:rPr>
          <w:sz w:val="24"/>
          <w:szCs w:val="24"/>
          <w:lang/>
        </w:rPr>
        <w:fldChar w:fldCharType="begin"/>
      </w:r>
      <w:r>
        <w:rPr>
          <w:sz w:val="24"/>
          <w:szCs w:val="24"/>
          <w:lang/>
        </w:rPr>
        <w:instrText xml:space="preserve">HYPERLINK \l "_Toc404896062"</w:instrText>
      </w:r>
      <w:r>
        <w:rPr>
          <w:sz w:val="24"/>
          <w:szCs w:val="24"/>
          <w:lang/>
        </w:rPr>
        <w:fldChar w:fldCharType="separate"/>
      </w:r>
      <w:r>
        <w:rPr>
          <w:sz w:val="24"/>
          <w:szCs w:val="24"/>
        </w:rPr>
        <w:t>4 Safety and Durability</w:t>
      </w:r>
      <w:r>
        <w:rPr>
          <w:sz w:val="24"/>
          <w:szCs w:val="24"/>
          <w:lang/>
        </w:rPr>
        <w:tab/>
      </w:r>
      <w:r>
        <w:rPr>
          <w:sz w:val="24"/>
          <w:szCs w:val="24"/>
          <w:lang/>
        </w:rPr>
        <w:t>7</w:t>
      </w:r>
      <w:r>
        <w:rPr>
          <w:sz w:val="24"/>
          <w:szCs w:val="24"/>
          <w:lang/>
        </w:rPr>
        <w:fldChar w:fldCharType="end"/>
      </w:r>
    </w:p>
    <w:p>
      <w:pPr>
        <w:pStyle w:val="8"/>
        <w:rPr>
          <w:sz w:val="24"/>
          <w:szCs w:val="24"/>
          <w:lang/>
        </w:rPr>
      </w:pPr>
      <w:r>
        <w:rPr>
          <w:rFonts w:hint="eastAsia"/>
          <w:sz w:val="24"/>
          <w:szCs w:val="24"/>
          <w:lang/>
        </w:rPr>
        <w:t xml:space="preserve">  </w:t>
      </w:r>
      <w:r>
        <w:rPr>
          <w:sz w:val="24"/>
          <w:szCs w:val="24"/>
          <w:lang/>
        </w:rPr>
        <w:fldChar w:fldCharType="begin"/>
      </w:r>
      <w:r>
        <w:rPr>
          <w:sz w:val="24"/>
          <w:szCs w:val="24"/>
          <w:lang/>
        </w:rPr>
        <w:instrText xml:space="preserve">HYPERLINK \l "_Toc404896063"</w:instrText>
      </w:r>
      <w:r>
        <w:rPr>
          <w:sz w:val="24"/>
          <w:szCs w:val="24"/>
          <w:lang/>
        </w:rPr>
        <w:fldChar w:fldCharType="separate"/>
      </w:r>
      <w:r>
        <w:rPr>
          <w:sz w:val="24"/>
          <w:szCs w:val="24"/>
        </w:rPr>
        <w:t>4.1  Prerequisite Items</w:t>
      </w:r>
      <w:r>
        <w:rPr>
          <w:sz w:val="24"/>
          <w:szCs w:val="24"/>
          <w:lang/>
        </w:rPr>
        <w:tab/>
      </w:r>
      <w:r>
        <w:rPr>
          <w:sz w:val="24"/>
          <w:szCs w:val="24"/>
          <w:lang/>
        </w:rPr>
        <w:t>7</w:t>
      </w:r>
      <w:r>
        <w:rPr>
          <w:sz w:val="24"/>
          <w:szCs w:val="24"/>
          <w:lang/>
        </w:rPr>
        <w:fldChar w:fldCharType="end"/>
      </w:r>
    </w:p>
    <w:p>
      <w:pPr>
        <w:pStyle w:val="8"/>
        <w:rPr>
          <w:sz w:val="24"/>
          <w:szCs w:val="24"/>
          <w:lang/>
        </w:rPr>
      </w:pPr>
      <w:r>
        <w:rPr>
          <w:rFonts w:hint="eastAsia"/>
          <w:sz w:val="24"/>
          <w:szCs w:val="24"/>
          <w:lang/>
        </w:rPr>
        <w:t xml:space="preserve">  </w:t>
      </w:r>
      <w:r>
        <w:rPr>
          <w:sz w:val="24"/>
          <w:szCs w:val="24"/>
          <w:lang/>
        </w:rPr>
        <w:fldChar w:fldCharType="begin"/>
      </w:r>
      <w:r>
        <w:rPr>
          <w:sz w:val="24"/>
          <w:szCs w:val="24"/>
          <w:lang/>
        </w:rPr>
        <w:instrText xml:space="preserve">HYPERLINK \l "_Toc404896064"</w:instrText>
      </w:r>
      <w:r>
        <w:rPr>
          <w:sz w:val="24"/>
          <w:szCs w:val="24"/>
          <w:lang/>
        </w:rPr>
        <w:fldChar w:fldCharType="separate"/>
      </w:r>
      <w:r>
        <w:rPr>
          <w:sz w:val="24"/>
          <w:szCs w:val="24"/>
        </w:rPr>
        <w:t>4.2  Scoring Items</w:t>
      </w:r>
      <w:r>
        <w:rPr>
          <w:sz w:val="24"/>
          <w:szCs w:val="24"/>
          <w:lang/>
        </w:rPr>
        <w:tab/>
      </w:r>
      <w:r>
        <w:rPr>
          <w:sz w:val="24"/>
          <w:szCs w:val="24"/>
          <w:lang/>
        </w:rPr>
        <w:t>7</w:t>
      </w:r>
      <w:r>
        <w:rPr>
          <w:sz w:val="24"/>
          <w:szCs w:val="24"/>
          <w:lang/>
        </w:rPr>
        <w:fldChar w:fldCharType="end"/>
      </w:r>
    </w:p>
    <w:p>
      <w:pPr>
        <w:pStyle w:val="8"/>
        <w:rPr>
          <w:sz w:val="24"/>
          <w:szCs w:val="24"/>
          <w:lang/>
        </w:rPr>
      </w:pPr>
      <w:r>
        <w:rPr>
          <w:sz w:val="24"/>
          <w:szCs w:val="24"/>
          <w:lang/>
        </w:rPr>
        <w:fldChar w:fldCharType="begin"/>
      </w:r>
      <w:r>
        <w:rPr>
          <w:sz w:val="24"/>
          <w:szCs w:val="24"/>
          <w:lang/>
        </w:rPr>
        <w:instrText xml:space="preserve">HYPERLINK \l "_Toc404896065"</w:instrText>
      </w:r>
      <w:r>
        <w:rPr>
          <w:sz w:val="24"/>
          <w:szCs w:val="24"/>
          <w:lang/>
        </w:rPr>
        <w:fldChar w:fldCharType="separate"/>
      </w:r>
      <w:r>
        <w:rPr>
          <w:sz w:val="24"/>
          <w:szCs w:val="24"/>
        </w:rPr>
        <w:t>5 Health and Comfort</w:t>
      </w:r>
      <w:r>
        <w:rPr>
          <w:sz w:val="24"/>
          <w:szCs w:val="24"/>
          <w:lang/>
        </w:rPr>
        <w:tab/>
      </w:r>
      <w:r>
        <w:rPr>
          <w:rFonts w:hint="eastAsia"/>
          <w:sz w:val="24"/>
          <w:szCs w:val="24"/>
          <w:lang/>
        </w:rPr>
        <w:t>10</w:t>
      </w:r>
      <w:r>
        <w:rPr>
          <w:sz w:val="24"/>
          <w:szCs w:val="24"/>
          <w:lang/>
        </w:rPr>
        <w:fldChar w:fldCharType="end"/>
      </w:r>
    </w:p>
    <w:p>
      <w:pPr>
        <w:pStyle w:val="8"/>
        <w:rPr>
          <w:sz w:val="24"/>
          <w:szCs w:val="24"/>
          <w:lang/>
        </w:rPr>
      </w:pPr>
      <w:r>
        <w:rPr>
          <w:rFonts w:hint="eastAsia"/>
          <w:sz w:val="24"/>
          <w:szCs w:val="24"/>
          <w:lang/>
        </w:rPr>
        <w:t xml:space="preserve">  </w:t>
      </w:r>
      <w:r>
        <w:rPr>
          <w:sz w:val="24"/>
          <w:szCs w:val="24"/>
          <w:lang/>
        </w:rPr>
        <w:fldChar w:fldCharType="begin"/>
      </w:r>
      <w:r>
        <w:rPr>
          <w:sz w:val="24"/>
          <w:szCs w:val="24"/>
          <w:lang/>
        </w:rPr>
        <w:instrText xml:space="preserve">HYPERLINK \l "_Toc404896066"</w:instrText>
      </w:r>
      <w:r>
        <w:rPr>
          <w:sz w:val="24"/>
          <w:szCs w:val="24"/>
          <w:lang/>
        </w:rPr>
        <w:fldChar w:fldCharType="separate"/>
      </w:r>
      <w:r>
        <w:rPr>
          <w:sz w:val="24"/>
          <w:szCs w:val="24"/>
        </w:rPr>
        <w:t>5.1  Prerequisite Items</w:t>
      </w:r>
      <w:r>
        <w:rPr>
          <w:sz w:val="24"/>
          <w:szCs w:val="24"/>
          <w:lang/>
        </w:rPr>
        <w:tab/>
      </w:r>
      <w:r>
        <w:rPr>
          <w:rFonts w:hint="eastAsia"/>
          <w:sz w:val="24"/>
          <w:szCs w:val="24"/>
          <w:lang/>
        </w:rPr>
        <w:t>10</w:t>
      </w:r>
      <w:r>
        <w:rPr>
          <w:sz w:val="24"/>
          <w:szCs w:val="24"/>
          <w:lang/>
        </w:rPr>
        <w:fldChar w:fldCharType="end"/>
      </w:r>
    </w:p>
    <w:p>
      <w:pPr>
        <w:pStyle w:val="8"/>
        <w:rPr>
          <w:sz w:val="24"/>
          <w:szCs w:val="24"/>
          <w:lang/>
        </w:rPr>
      </w:pPr>
      <w:r>
        <w:rPr>
          <w:rFonts w:hint="eastAsia"/>
          <w:sz w:val="24"/>
          <w:szCs w:val="24"/>
          <w:lang/>
        </w:rPr>
        <w:t xml:space="preserve">  </w:t>
      </w:r>
      <w:r>
        <w:rPr>
          <w:sz w:val="24"/>
          <w:szCs w:val="24"/>
          <w:lang/>
        </w:rPr>
        <w:fldChar w:fldCharType="begin"/>
      </w:r>
      <w:r>
        <w:rPr>
          <w:sz w:val="24"/>
          <w:szCs w:val="24"/>
          <w:lang/>
        </w:rPr>
        <w:instrText xml:space="preserve">HYPERLINK \l "_Toc404896067"</w:instrText>
      </w:r>
      <w:r>
        <w:rPr>
          <w:sz w:val="24"/>
          <w:szCs w:val="24"/>
          <w:lang/>
        </w:rPr>
        <w:fldChar w:fldCharType="separate"/>
      </w:r>
      <w:r>
        <w:rPr>
          <w:sz w:val="24"/>
          <w:szCs w:val="24"/>
        </w:rPr>
        <w:t>5.2  Scoring Items</w:t>
      </w:r>
      <w:r>
        <w:rPr>
          <w:sz w:val="24"/>
          <w:szCs w:val="24"/>
          <w:lang/>
        </w:rPr>
        <w:tab/>
      </w:r>
      <w:r>
        <w:rPr>
          <w:sz w:val="24"/>
          <w:szCs w:val="24"/>
          <w:lang/>
        </w:rPr>
        <w:t>1</w:t>
      </w:r>
      <w:r>
        <w:rPr>
          <w:rFonts w:hint="eastAsia"/>
          <w:sz w:val="24"/>
          <w:szCs w:val="24"/>
          <w:lang/>
        </w:rPr>
        <w:t>1</w:t>
      </w:r>
      <w:r>
        <w:rPr>
          <w:sz w:val="24"/>
          <w:szCs w:val="24"/>
          <w:lang/>
        </w:rPr>
        <w:fldChar w:fldCharType="end"/>
      </w:r>
    </w:p>
    <w:p>
      <w:pPr>
        <w:pStyle w:val="8"/>
        <w:rPr>
          <w:sz w:val="24"/>
          <w:szCs w:val="24"/>
          <w:lang/>
        </w:rPr>
      </w:pPr>
      <w:r>
        <w:rPr>
          <w:sz w:val="24"/>
          <w:szCs w:val="24"/>
          <w:lang/>
        </w:rPr>
        <w:fldChar w:fldCharType="begin"/>
      </w:r>
      <w:r>
        <w:rPr>
          <w:sz w:val="24"/>
          <w:szCs w:val="24"/>
          <w:lang/>
        </w:rPr>
        <w:instrText xml:space="preserve">HYPERLINK \l "_Toc404896068"</w:instrText>
      </w:r>
      <w:r>
        <w:rPr>
          <w:sz w:val="24"/>
          <w:szCs w:val="24"/>
          <w:lang/>
        </w:rPr>
        <w:fldChar w:fldCharType="separate"/>
      </w:r>
      <w:r>
        <w:rPr>
          <w:sz w:val="24"/>
          <w:szCs w:val="24"/>
        </w:rPr>
        <w:t>6 Occupant Convenience</w:t>
      </w:r>
      <w:r>
        <w:rPr>
          <w:sz w:val="24"/>
          <w:szCs w:val="24"/>
          <w:lang/>
        </w:rPr>
        <w:tab/>
      </w:r>
      <w:r>
        <w:rPr>
          <w:sz w:val="24"/>
          <w:szCs w:val="24"/>
          <w:lang/>
        </w:rPr>
        <w:fldChar w:fldCharType="begin"/>
      </w:r>
      <w:r>
        <w:rPr>
          <w:sz w:val="24"/>
          <w:szCs w:val="24"/>
          <w:lang/>
        </w:rPr>
        <w:instrText xml:space="preserve"> PAGEREF _Toc404896068 \h </w:instrText>
      </w:r>
      <w:r>
        <w:rPr>
          <w:sz w:val="24"/>
          <w:szCs w:val="24"/>
          <w:lang/>
        </w:rPr>
        <w:fldChar w:fldCharType="separate"/>
      </w:r>
      <w:r>
        <w:rPr>
          <w:sz w:val="24"/>
          <w:szCs w:val="24"/>
          <w:lang/>
        </w:rPr>
        <w:t>1</w:t>
      </w:r>
      <w:r>
        <w:rPr>
          <w:rFonts w:hint="eastAsia"/>
          <w:sz w:val="24"/>
          <w:szCs w:val="24"/>
          <w:lang/>
        </w:rPr>
        <w:t>4</w:t>
      </w:r>
      <w:r>
        <w:rPr>
          <w:sz w:val="24"/>
          <w:szCs w:val="24"/>
          <w:lang/>
        </w:rPr>
        <w:fldChar w:fldCharType="end"/>
      </w:r>
      <w:r>
        <w:rPr>
          <w:sz w:val="24"/>
          <w:szCs w:val="24"/>
          <w:lang/>
        </w:rPr>
        <w:fldChar w:fldCharType="end"/>
      </w:r>
    </w:p>
    <w:p>
      <w:pPr>
        <w:pStyle w:val="8"/>
        <w:rPr>
          <w:sz w:val="24"/>
          <w:szCs w:val="24"/>
          <w:lang/>
        </w:rPr>
      </w:pPr>
      <w:r>
        <w:rPr>
          <w:rFonts w:hint="eastAsia"/>
          <w:sz w:val="24"/>
          <w:szCs w:val="24"/>
          <w:lang/>
        </w:rPr>
        <w:t xml:space="preserve">  </w:t>
      </w:r>
      <w:r>
        <w:rPr>
          <w:sz w:val="24"/>
          <w:szCs w:val="24"/>
          <w:lang/>
        </w:rPr>
        <w:fldChar w:fldCharType="begin"/>
      </w:r>
      <w:r>
        <w:rPr>
          <w:sz w:val="24"/>
          <w:szCs w:val="24"/>
          <w:lang/>
        </w:rPr>
        <w:instrText xml:space="preserve">HYPERLINK \l "_Toc404896069"</w:instrText>
      </w:r>
      <w:r>
        <w:rPr>
          <w:sz w:val="24"/>
          <w:szCs w:val="24"/>
          <w:lang/>
        </w:rPr>
        <w:fldChar w:fldCharType="separate"/>
      </w:r>
      <w:r>
        <w:rPr>
          <w:sz w:val="24"/>
          <w:szCs w:val="24"/>
        </w:rPr>
        <w:t>6.1  Prerequisite Items</w:t>
      </w:r>
      <w:r>
        <w:rPr>
          <w:sz w:val="24"/>
          <w:szCs w:val="24"/>
          <w:lang/>
        </w:rPr>
        <w:tab/>
      </w:r>
      <w:r>
        <w:rPr>
          <w:sz w:val="24"/>
          <w:szCs w:val="24"/>
          <w:lang/>
        </w:rPr>
        <w:fldChar w:fldCharType="begin"/>
      </w:r>
      <w:r>
        <w:rPr>
          <w:sz w:val="24"/>
          <w:szCs w:val="24"/>
          <w:lang/>
        </w:rPr>
        <w:instrText xml:space="preserve"> PAGEREF _Toc404896069 \h </w:instrText>
      </w:r>
      <w:r>
        <w:rPr>
          <w:sz w:val="24"/>
          <w:szCs w:val="24"/>
          <w:lang/>
        </w:rPr>
        <w:fldChar w:fldCharType="separate"/>
      </w:r>
      <w:r>
        <w:rPr>
          <w:sz w:val="24"/>
          <w:szCs w:val="24"/>
          <w:lang/>
        </w:rPr>
        <w:t>1</w:t>
      </w:r>
      <w:r>
        <w:rPr>
          <w:rFonts w:hint="eastAsia"/>
          <w:sz w:val="24"/>
          <w:szCs w:val="24"/>
          <w:lang/>
        </w:rPr>
        <w:t>4</w:t>
      </w:r>
      <w:r>
        <w:rPr>
          <w:sz w:val="24"/>
          <w:szCs w:val="24"/>
          <w:lang/>
        </w:rPr>
        <w:fldChar w:fldCharType="end"/>
      </w:r>
      <w:r>
        <w:rPr>
          <w:sz w:val="24"/>
          <w:szCs w:val="24"/>
          <w:lang/>
        </w:rPr>
        <w:fldChar w:fldCharType="end"/>
      </w:r>
    </w:p>
    <w:p>
      <w:pPr>
        <w:pStyle w:val="8"/>
        <w:rPr>
          <w:sz w:val="24"/>
          <w:szCs w:val="24"/>
          <w:lang/>
        </w:rPr>
      </w:pPr>
      <w:r>
        <w:rPr>
          <w:rFonts w:hint="eastAsia"/>
          <w:sz w:val="24"/>
          <w:szCs w:val="24"/>
          <w:lang/>
        </w:rPr>
        <w:t xml:space="preserve">  </w:t>
      </w:r>
      <w:r>
        <w:rPr>
          <w:sz w:val="24"/>
          <w:szCs w:val="24"/>
          <w:lang/>
        </w:rPr>
        <w:fldChar w:fldCharType="begin"/>
      </w:r>
      <w:r>
        <w:rPr>
          <w:sz w:val="24"/>
          <w:szCs w:val="24"/>
          <w:lang/>
        </w:rPr>
        <w:instrText xml:space="preserve">HYPERLINK \l "_Toc404896070"</w:instrText>
      </w:r>
      <w:r>
        <w:rPr>
          <w:sz w:val="24"/>
          <w:szCs w:val="24"/>
          <w:lang/>
        </w:rPr>
        <w:fldChar w:fldCharType="separate"/>
      </w:r>
      <w:r>
        <w:rPr>
          <w:sz w:val="24"/>
          <w:szCs w:val="24"/>
        </w:rPr>
        <w:t>6.2  Scoring Items</w:t>
      </w:r>
      <w:r>
        <w:rPr>
          <w:sz w:val="24"/>
          <w:szCs w:val="24"/>
          <w:lang/>
        </w:rPr>
        <w:tab/>
      </w:r>
      <w:r>
        <w:rPr>
          <w:sz w:val="24"/>
          <w:szCs w:val="24"/>
          <w:lang/>
        </w:rPr>
        <w:fldChar w:fldCharType="begin"/>
      </w:r>
      <w:r>
        <w:rPr>
          <w:sz w:val="24"/>
          <w:szCs w:val="24"/>
          <w:lang/>
        </w:rPr>
        <w:instrText xml:space="preserve"> PAGEREF _Toc404896070 \h </w:instrText>
      </w:r>
      <w:r>
        <w:rPr>
          <w:sz w:val="24"/>
          <w:szCs w:val="24"/>
          <w:lang/>
        </w:rPr>
        <w:fldChar w:fldCharType="separate"/>
      </w:r>
      <w:r>
        <w:rPr>
          <w:sz w:val="24"/>
          <w:szCs w:val="24"/>
          <w:lang/>
        </w:rPr>
        <w:t>1</w:t>
      </w:r>
      <w:r>
        <w:rPr>
          <w:rFonts w:hint="eastAsia"/>
          <w:sz w:val="24"/>
          <w:szCs w:val="24"/>
          <w:lang/>
        </w:rPr>
        <w:t>4</w:t>
      </w:r>
      <w:r>
        <w:rPr>
          <w:sz w:val="24"/>
          <w:szCs w:val="24"/>
          <w:lang/>
        </w:rPr>
        <w:fldChar w:fldCharType="end"/>
      </w:r>
      <w:r>
        <w:rPr>
          <w:sz w:val="24"/>
          <w:szCs w:val="24"/>
          <w:lang/>
        </w:rPr>
        <w:fldChar w:fldCharType="end"/>
      </w:r>
    </w:p>
    <w:p>
      <w:pPr>
        <w:pStyle w:val="8"/>
        <w:rPr>
          <w:sz w:val="24"/>
          <w:szCs w:val="24"/>
          <w:lang/>
        </w:rPr>
      </w:pPr>
      <w:r>
        <w:rPr>
          <w:sz w:val="24"/>
          <w:szCs w:val="24"/>
          <w:lang/>
        </w:rPr>
        <w:fldChar w:fldCharType="begin"/>
      </w:r>
      <w:r>
        <w:rPr>
          <w:sz w:val="24"/>
          <w:szCs w:val="24"/>
          <w:lang/>
        </w:rPr>
        <w:instrText xml:space="preserve">HYPERLINK \l "_Toc404896071"</w:instrText>
      </w:r>
      <w:r>
        <w:rPr>
          <w:sz w:val="24"/>
          <w:szCs w:val="24"/>
          <w:lang/>
        </w:rPr>
        <w:fldChar w:fldCharType="separate"/>
      </w:r>
      <w:r>
        <w:rPr>
          <w:sz w:val="24"/>
          <w:szCs w:val="24"/>
        </w:rPr>
        <w:t>7 Resources Saving</w:t>
      </w:r>
      <w:r>
        <w:rPr>
          <w:sz w:val="24"/>
          <w:szCs w:val="24"/>
          <w:lang/>
        </w:rPr>
        <w:tab/>
      </w:r>
      <w:r>
        <w:rPr>
          <w:sz w:val="24"/>
          <w:szCs w:val="24"/>
          <w:lang/>
        </w:rPr>
        <w:fldChar w:fldCharType="begin"/>
      </w:r>
      <w:r>
        <w:rPr>
          <w:sz w:val="24"/>
          <w:szCs w:val="24"/>
          <w:lang/>
        </w:rPr>
        <w:instrText xml:space="preserve"> PAGEREF _Toc404896071 \h </w:instrText>
      </w:r>
      <w:r>
        <w:rPr>
          <w:sz w:val="24"/>
          <w:szCs w:val="24"/>
          <w:lang/>
        </w:rPr>
        <w:fldChar w:fldCharType="separate"/>
      </w:r>
      <w:r>
        <w:rPr>
          <w:sz w:val="24"/>
          <w:szCs w:val="24"/>
          <w:lang/>
        </w:rPr>
        <w:t>1</w:t>
      </w:r>
      <w:r>
        <w:rPr>
          <w:rFonts w:hint="eastAsia"/>
          <w:sz w:val="24"/>
          <w:szCs w:val="24"/>
          <w:lang/>
        </w:rPr>
        <w:t>8</w:t>
      </w:r>
      <w:r>
        <w:rPr>
          <w:sz w:val="24"/>
          <w:szCs w:val="24"/>
          <w:lang/>
        </w:rPr>
        <w:fldChar w:fldCharType="end"/>
      </w:r>
      <w:r>
        <w:rPr>
          <w:sz w:val="24"/>
          <w:szCs w:val="24"/>
          <w:lang/>
        </w:rPr>
        <w:fldChar w:fldCharType="end"/>
      </w:r>
    </w:p>
    <w:p>
      <w:pPr>
        <w:pStyle w:val="8"/>
        <w:rPr>
          <w:sz w:val="24"/>
          <w:szCs w:val="24"/>
          <w:lang/>
        </w:rPr>
      </w:pPr>
      <w:r>
        <w:rPr>
          <w:rFonts w:hint="eastAsia"/>
          <w:sz w:val="24"/>
          <w:szCs w:val="24"/>
          <w:lang/>
        </w:rPr>
        <w:t xml:space="preserve">  </w:t>
      </w:r>
      <w:r>
        <w:rPr>
          <w:sz w:val="24"/>
          <w:szCs w:val="24"/>
          <w:lang/>
        </w:rPr>
        <w:fldChar w:fldCharType="begin"/>
      </w:r>
      <w:r>
        <w:rPr>
          <w:sz w:val="24"/>
          <w:szCs w:val="24"/>
          <w:lang/>
        </w:rPr>
        <w:instrText xml:space="preserve">HYPERLINK \l "_Toc404896072"</w:instrText>
      </w:r>
      <w:r>
        <w:rPr>
          <w:sz w:val="24"/>
          <w:szCs w:val="24"/>
          <w:lang/>
        </w:rPr>
        <w:fldChar w:fldCharType="separate"/>
      </w:r>
      <w:r>
        <w:rPr>
          <w:sz w:val="24"/>
          <w:szCs w:val="24"/>
        </w:rPr>
        <w:t>7.1  Prerequisite Items</w:t>
      </w:r>
      <w:r>
        <w:rPr>
          <w:sz w:val="24"/>
          <w:szCs w:val="24"/>
          <w:lang/>
        </w:rPr>
        <w:tab/>
      </w:r>
      <w:r>
        <w:rPr>
          <w:sz w:val="24"/>
          <w:szCs w:val="24"/>
          <w:lang/>
        </w:rPr>
        <w:fldChar w:fldCharType="begin"/>
      </w:r>
      <w:r>
        <w:rPr>
          <w:sz w:val="24"/>
          <w:szCs w:val="24"/>
          <w:lang/>
        </w:rPr>
        <w:instrText xml:space="preserve"> PAGEREF _Toc404896072 \h </w:instrText>
      </w:r>
      <w:r>
        <w:rPr>
          <w:sz w:val="24"/>
          <w:szCs w:val="24"/>
          <w:lang/>
        </w:rPr>
        <w:fldChar w:fldCharType="separate"/>
      </w:r>
      <w:r>
        <w:rPr>
          <w:sz w:val="24"/>
          <w:szCs w:val="24"/>
          <w:lang/>
        </w:rPr>
        <w:t>1</w:t>
      </w:r>
      <w:r>
        <w:rPr>
          <w:rFonts w:hint="eastAsia"/>
          <w:sz w:val="24"/>
          <w:szCs w:val="24"/>
          <w:lang/>
        </w:rPr>
        <w:t>8</w:t>
      </w:r>
      <w:r>
        <w:rPr>
          <w:sz w:val="24"/>
          <w:szCs w:val="24"/>
          <w:lang/>
        </w:rPr>
        <w:fldChar w:fldCharType="end"/>
      </w:r>
      <w:r>
        <w:rPr>
          <w:sz w:val="24"/>
          <w:szCs w:val="24"/>
          <w:lang/>
        </w:rPr>
        <w:fldChar w:fldCharType="end"/>
      </w:r>
    </w:p>
    <w:p>
      <w:pPr>
        <w:pStyle w:val="8"/>
        <w:rPr>
          <w:sz w:val="24"/>
          <w:szCs w:val="24"/>
          <w:lang/>
        </w:rPr>
      </w:pPr>
      <w:r>
        <w:rPr>
          <w:rFonts w:hint="eastAsia"/>
          <w:sz w:val="24"/>
          <w:szCs w:val="24"/>
          <w:lang/>
        </w:rPr>
        <w:t xml:space="preserve">  </w:t>
      </w:r>
      <w:r>
        <w:rPr>
          <w:sz w:val="24"/>
          <w:szCs w:val="24"/>
          <w:lang/>
        </w:rPr>
        <w:fldChar w:fldCharType="begin"/>
      </w:r>
      <w:r>
        <w:rPr>
          <w:sz w:val="24"/>
          <w:szCs w:val="24"/>
          <w:lang/>
        </w:rPr>
        <w:instrText xml:space="preserve">HYPERLINK \l "_Toc404896073"</w:instrText>
      </w:r>
      <w:r>
        <w:rPr>
          <w:sz w:val="24"/>
          <w:szCs w:val="24"/>
          <w:lang/>
        </w:rPr>
        <w:fldChar w:fldCharType="separate"/>
      </w:r>
      <w:r>
        <w:rPr>
          <w:sz w:val="24"/>
          <w:szCs w:val="24"/>
        </w:rPr>
        <w:t>7.2  Scoring Items</w:t>
      </w:r>
      <w:r>
        <w:rPr>
          <w:sz w:val="24"/>
          <w:szCs w:val="24"/>
          <w:lang/>
        </w:rPr>
        <w:tab/>
      </w:r>
      <w:r>
        <w:rPr>
          <w:sz w:val="24"/>
          <w:szCs w:val="24"/>
          <w:lang/>
        </w:rPr>
        <w:fldChar w:fldCharType="begin"/>
      </w:r>
      <w:r>
        <w:rPr>
          <w:sz w:val="24"/>
          <w:szCs w:val="24"/>
          <w:lang/>
        </w:rPr>
        <w:instrText xml:space="preserve"> PAGEREF _Toc404896073 \h </w:instrText>
      </w:r>
      <w:r>
        <w:rPr>
          <w:sz w:val="24"/>
          <w:szCs w:val="24"/>
          <w:lang/>
        </w:rPr>
        <w:fldChar w:fldCharType="separate"/>
      </w:r>
      <w:r>
        <w:rPr>
          <w:sz w:val="24"/>
          <w:szCs w:val="24"/>
          <w:lang/>
        </w:rPr>
        <w:t>1</w:t>
      </w:r>
      <w:r>
        <w:rPr>
          <w:rFonts w:hint="eastAsia"/>
          <w:sz w:val="24"/>
          <w:szCs w:val="24"/>
          <w:lang/>
        </w:rPr>
        <w:t>9</w:t>
      </w:r>
      <w:r>
        <w:rPr>
          <w:sz w:val="24"/>
          <w:szCs w:val="24"/>
          <w:lang/>
        </w:rPr>
        <w:fldChar w:fldCharType="end"/>
      </w:r>
      <w:r>
        <w:rPr>
          <w:sz w:val="24"/>
          <w:szCs w:val="24"/>
          <w:lang/>
        </w:rPr>
        <w:fldChar w:fldCharType="end"/>
      </w:r>
    </w:p>
    <w:p>
      <w:pPr>
        <w:pStyle w:val="8"/>
        <w:rPr>
          <w:sz w:val="24"/>
          <w:szCs w:val="24"/>
          <w:lang/>
        </w:rPr>
      </w:pPr>
      <w:r>
        <w:rPr>
          <w:sz w:val="24"/>
          <w:szCs w:val="24"/>
          <w:lang/>
        </w:rPr>
        <w:fldChar w:fldCharType="begin"/>
      </w:r>
      <w:r>
        <w:rPr>
          <w:sz w:val="24"/>
          <w:szCs w:val="24"/>
          <w:lang/>
        </w:rPr>
        <w:instrText xml:space="preserve">HYPERLINK \l "_Toc404896074"</w:instrText>
      </w:r>
      <w:r>
        <w:rPr>
          <w:sz w:val="24"/>
          <w:szCs w:val="24"/>
          <w:lang/>
        </w:rPr>
        <w:fldChar w:fldCharType="separate"/>
      </w:r>
      <w:r>
        <w:rPr>
          <w:sz w:val="24"/>
          <w:szCs w:val="24"/>
        </w:rPr>
        <w:t>8 Environment Livability</w:t>
      </w:r>
      <w:r>
        <w:rPr>
          <w:sz w:val="24"/>
          <w:szCs w:val="24"/>
          <w:lang/>
        </w:rPr>
        <w:tab/>
      </w:r>
      <w:r>
        <w:rPr>
          <w:sz w:val="24"/>
          <w:szCs w:val="24"/>
          <w:lang/>
        </w:rPr>
        <w:t>2</w:t>
      </w:r>
      <w:r>
        <w:rPr>
          <w:rFonts w:hint="eastAsia"/>
          <w:sz w:val="24"/>
          <w:szCs w:val="24"/>
          <w:lang/>
        </w:rPr>
        <w:t>4</w:t>
      </w:r>
      <w:r>
        <w:rPr>
          <w:sz w:val="24"/>
          <w:szCs w:val="24"/>
          <w:lang/>
        </w:rPr>
        <w:fldChar w:fldCharType="end"/>
      </w:r>
    </w:p>
    <w:p>
      <w:pPr>
        <w:pStyle w:val="8"/>
        <w:rPr>
          <w:sz w:val="24"/>
          <w:szCs w:val="24"/>
          <w:lang/>
        </w:rPr>
      </w:pPr>
      <w:r>
        <w:rPr>
          <w:rFonts w:hint="eastAsia"/>
          <w:sz w:val="24"/>
          <w:szCs w:val="24"/>
          <w:lang/>
        </w:rPr>
        <w:t xml:space="preserve">  </w:t>
      </w:r>
      <w:r>
        <w:rPr>
          <w:sz w:val="24"/>
          <w:szCs w:val="24"/>
          <w:lang/>
        </w:rPr>
        <w:fldChar w:fldCharType="begin"/>
      </w:r>
      <w:r>
        <w:rPr>
          <w:sz w:val="24"/>
          <w:szCs w:val="24"/>
          <w:lang/>
        </w:rPr>
        <w:instrText xml:space="preserve">HYPERLINK \l "_Toc404896075"</w:instrText>
      </w:r>
      <w:r>
        <w:rPr>
          <w:sz w:val="24"/>
          <w:szCs w:val="24"/>
          <w:lang/>
        </w:rPr>
        <w:fldChar w:fldCharType="separate"/>
      </w:r>
      <w:r>
        <w:rPr>
          <w:sz w:val="24"/>
          <w:szCs w:val="24"/>
        </w:rPr>
        <w:t>8.1  Prerequisite Items</w:t>
      </w:r>
      <w:r>
        <w:rPr>
          <w:sz w:val="24"/>
          <w:szCs w:val="24"/>
          <w:lang/>
        </w:rPr>
        <w:tab/>
      </w:r>
      <w:r>
        <w:rPr>
          <w:sz w:val="24"/>
          <w:szCs w:val="24"/>
          <w:lang/>
        </w:rPr>
        <w:t>2</w:t>
      </w:r>
      <w:r>
        <w:rPr>
          <w:rFonts w:hint="eastAsia"/>
          <w:sz w:val="24"/>
          <w:szCs w:val="24"/>
          <w:lang/>
        </w:rPr>
        <w:t>4</w:t>
      </w:r>
      <w:r>
        <w:rPr>
          <w:sz w:val="24"/>
          <w:szCs w:val="24"/>
          <w:lang/>
        </w:rPr>
        <w:fldChar w:fldCharType="end"/>
      </w:r>
    </w:p>
    <w:p>
      <w:pPr>
        <w:pStyle w:val="8"/>
        <w:rPr>
          <w:sz w:val="24"/>
          <w:szCs w:val="24"/>
          <w:lang/>
        </w:rPr>
      </w:pPr>
      <w:r>
        <w:rPr>
          <w:rFonts w:hint="eastAsia"/>
          <w:sz w:val="24"/>
          <w:szCs w:val="24"/>
          <w:lang/>
        </w:rPr>
        <w:t xml:space="preserve">  </w:t>
      </w:r>
      <w:r>
        <w:rPr>
          <w:sz w:val="24"/>
          <w:szCs w:val="24"/>
          <w:lang/>
        </w:rPr>
        <w:fldChar w:fldCharType="begin"/>
      </w:r>
      <w:r>
        <w:rPr>
          <w:sz w:val="24"/>
          <w:szCs w:val="24"/>
          <w:lang/>
        </w:rPr>
        <w:instrText xml:space="preserve">HYPERLINK \l "_Toc404896076"</w:instrText>
      </w:r>
      <w:r>
        <w:rPr>
          <w:sz w:val="24"/>
          <w:szCs w:val="24"/>
          <w:lang/>
        </w:rPr>
        <w:fldChar w:fldCharType="separate"/>
      </w:r>
      <w:r>
        <w:rPr>
          <w:sz w:val="24"/>
          <w:szCs w:val="24"/>
        </w:rPr>
        <w:t>8.2  Scoring Items</w:t>
      </w:r>
      <w:r>
        <w:rPr>
          <w:sz w:val="24"/>
          <w:szCs w:val="24"/>
          <w:lang/>
        </w:rPr>
        <w:tab/>
      </w:r>
      <w:r>
        <w:rPr>
          <w:sz w:val="24"/>
          <w:szCs w:val="24"/>
          <w:lang/>
        </w:rPr>
        <w:t>2</w:t>
      </w:r>
      <w:r>
        <w:rPr>
          <w:rFonts w:hint="eastAsia"/>
          <w:sz w:val="24"/>
          <w:szCs w:val="24"/>
          <w:lang/>
        </w:rPr>
        <w:t>4</w:t>
      </w:r>
      <w:r>
        <w:rPr>
          <w:sz w:val="24"/>
          <w:szCs w:val="24"/>
          <w:lang/>
        </w:rPr>
        <w:fldChar w:fldCharType="end"/>
      </w:r>
    </w:p>
    <w:p>
      <w:pPr>
        <w:pStyle w:val="8"/>
        <w:rPr>
          <w:sz w:val="24"/>
          <w:szCs w:val="24"/>
          <w:lang/>
        </w:rPr>
      </w:pPr>
      <w:r>
        <w:rPr>
          <w:sz w:val="24"/>
          <w:szCs w:val="24"/>
          <w:lang/>
        </w:rPr>
        <w:fldChar w:fldCharType="begin"/>
      </w:r>
      <w:r>
        <w:rPr>
          <w:sz w:val="24"/>
          <w:szCs w:val="24"/>
          <w:lang/>
        </w:rPr>
        <w:instrText xml:space="preserve">HYPERLINK \l "_Toc404896077"</w:instrText>
      </w:r>
      <w:r>
        <w:rPr>
          <w:sz w:val="24"/>
          <w:szCs w:val="24"/>
          <w:lang/>
        </w:rPr>
        <w:fldChar w:fldCharType="separate"/>
      </w:r>
      <w:r>
        <w:rPr>
          <w:sz w:val="24"/>
          <w:szCs w:val="24"/>
        </w:rPr>
        <w:t>9 Promotion and Innovation</w:t>
      </w:r>
      <w:r>
        <w:rPr>
          <w:sz w:val="24"/>
          <w:szCs w:val="24"/>
          <w:lang/>
        </w:rPr>
        <w:tab/>
      </w:r>
      <w:r>
        <w:rPr>
          <w:sz w:val="24"/>
          <w:szCs w:val="24"/>
          <w:lang/>
        </w:rPr>
        <w:fldChar w:fldCharType="begin"/>
      </w:r>
      <w:r>
        <w:rPr>
          <w:sz w:val="24"/>
          <w:szCs w:val="24"/>
          <w:lang/>
        </w:rPr>
        <w:instrText xml:space="preserve"> PAGEREF _Toc404896077 \h </w:instrText>
      </w:r>
      <w:r>
        <w:rPr>
          <w:sz w:val="24"/>
          <w:szCs w:val="24"/>
          <w:lang/>
        </w:rPr>
        <w:fldChar w:fldCharType="separate"/>
      </w:r>
      <w:r>
        <w:rPr>
          <w:sz w:val="24"/>
          <w:szCs w:val="24"/>
          <w:lang/>
        </w:rPr>
        <w:t>2</w:t>
      </w:r>
      <w:r>
        <w:rPr>
          <w:rFonts w:hint="eastAsia"/>
          <w:sz w:val="24"/>
          <w:szCs w:val="24"/>
          <w:lang/>
        </w:rPr>
        <w:t>8</w:t>
      </w:r>
      <w:r>
        <w:rPr>
          <w:sz w:val="24"/>
          <w:szCs w:val="24"/>
          <w:lang/>
        </w:rPr>
        <w:fldChar w:fldCharType="end"/>
      </w:r>
      <w:r>
        <w:rPr>
          <w:sz w:val="24"/>
          <w:szCs w:val="24"/>
          <w:lang/>
        </w:rPr>
        <w:fldChar w:fldCharType="end"/>
      </w:r>
    </w:p>
    <w:p>
      <w:pPr>
        <w:pStyle w:val="8"/>
        <w:rPr>
          <w:sz w:val="24"/>
          <w:szCs w:val="24"/>
          <w:lang/>
        </w:rPr>
      </w:pPr>
      <w:r>
        <w:rPr>
          <w:rFonts w:hint="eastAsia"/>
          <w:sz w:val="24"/>
          <w:szCs w:val="24"/>
          <w:lang/>
        </w:rPr>
        <w:t xml:space="preserve">  </w:t>
      </w:r>
      <w:r>
        <w:rPr>
          <w:sz w:val="24"/>
          <w:szCs w:val="24"/>
          <w:lang/>
        </w:rPr>
        <w:fldChar w:fldCharType="begin"/>
      </w:r>
      <w:r>
        <w:rPr>
          <w:sz w:val="24"/>
          <w:szCs w:val="24"/>
          <w:lang/>
        </w:rPr>
        <w:instrText xml:space="preserve">HYPERLINK \l "_Toc404896078"</w:instrText>
      </w:r>
      <w:r>
        <w:rPr>
          <w:sz w:val="24"/>
          <w:szCs w:val="24"/>
          <w:lang/>
        </w:rPr>
        <w:fldChar w:fldCharType="separate"/>
      </w:r>
      <w:r>
        <w:rPr>
          <w:sz w:val="24"/>
          <w:szCs w:val="24"/>
        </w:rPr>
        <w:t>9.1  General Requirement</w:t>
      </w:r>
      <w:r>
        <w:rPr>
          <w:sz w:val="24"/>
          <w:szCs w:val="24"/>
          <w:lang/>
        </w:rPr>
        <w:tab/>
      </w:r>
      <w:r>
        <w:rPr>
          <w:sz w:val="24"/>
          <w:szCs w:val="24"/>
          <w:lang/>
        </w:rPr>
        <w:fldChar w:fldCharType="begin"/>
      </w:r>
      <w:r>
        <w:rPr>
          <w:sz w:val="24"/>
          <w:szCs w:val="24"/>
          <w:lang/>
        </w:rPr>
        <w:instrText xml:space="preserve"> PAGEREF _Toc404896078 \h </w:instrText>
      </w:r>
      <w:r>
        <w:rPr>
          <w:sz w:val="24"/>
          <w:szCs w:val="24"/>
          <w:lang/>
        </w:rPr>
        <w:fldChar w:fldCharType="separate"/>
      </w:r>
      <w:r>
        <w:rPr>
          <w:sz w:val="24"/>
          <w:szCs w:val="24"/>
          <w:lang/>
        </w:rPr>
        <w:t>2</w:t>
      </w:r>
      <w:r>
        <w:rPr>
          <w:rFonts w:hint="eastAsia"/>
          <w:sz w:val="24"/>
          <w:szCs w:val="24"/>
          <w:lang/>
        </w:rPr>
        <w:t>8</w:t>
      </w:r>
      <w:r>
        <w:rPr>
          <w:sz w:val="24"/>
          <w:szCs w:val="24"/>
          <w:lang/>
        </w:rPr>
        <w:fldChar w:fldCharType="end"/>
      </w:r>
      <w:r>
        <w:rPr>
          <w:sz w:val="24"/>
          <w:szCs w:val="24"/>
          <w:lang/>
        </w:rPr>
        <w:fldChar w:fldCharType="end"/>
      </w:r>
    </w:p>
    <w:p>
      <w:pPr>
        <w:pStyle w:val="8"/>
        <w:rPr>
          <w:sz w:val="24"/>
          <w:szCs w:val="24"/>
          <w:lang/>
        </w:rPr>
      </w:pPr>
      <w:r>
        <w:rPr>
          <w:rFonts w:hint="eastAsia"/>
          <w:sz w:val="24"/>
          <w:szCs w:val="24"/>
          <w:lang/>
        </w:rPr>
        <w:t xml:space="preserve">  </w:t>
      </w:r>
      <w:r>
        <w:rPr>
          <w:sz w:val="24"/>
          <w:szCs w:val="24"/>
          <w:lang/>
        </w:rPr>
        <w:fldChar w:fldCharType="begin"/>
      </w:r>
      <w:r>
        <w:rPr>
          <w:sz w:val="24"/>
          <w:szCs w:val="24"/>
          <w:lang/>
        </w:rPr>
        <w:instrText xml:space="preserve">HYPERLINK \l "_Toc404896079"</w:instrText>
      </w:r>
      <w:r>
        <w:rPr>
          <w:sz w:val="24"/>
          <w:szCs w:val="24"/>
          <w:lang/>
        </w:rPr>
        <w:fldChar w:fldCharType="separate"/>
      </w:r>
      <w:r>
        <w:rPr>
          <w:sz w:val="24"/>
          <w:szCs w:val="24"/>
        </w:rPr>
        <w:t>9.2  Bonus Items</w:t>
      </w:r>
      <w:r>
        <w:rPr>
          <w:sz w:val="24"/>
          <w:szCs w:val="24"/>
          <w:lang/>
        </w:rPr>
        <w:tab/>
      </w:r>
      <w:r>
        <w:rPr>
          <w:sz w:val="24"/>
          <w:szCs w:val="24"/>
          <w:lang/>
        </w:rPr>
        <w:fldChar w:fldCharType="begin"/>
      </w:r>
      <w:r>
        <w:rPr>
          <w:sz w:val="24"/>
          <w:szCs w:val="24"/>
          <w:lang/>
        </w:rPr>
        <w:instrText xml:space="preserve"> PAGEREF _Toc404896079 \h </w:instrText>
      </w:r>
      <w:r>
        <w:rPr>
          <w:sz w:val="24"/>
          <w:szCs w:val="24"/>
          <w:lang/>
        </w:rPr>
        <w:fldChar w:fldCharType="separate"/>
      </w:r>
      <w:r>
        <w:rPr>
          <w:sz w:val="24"/>
          <w:szCs w:val="24"/>
          <w:lang/>
        </w:rPr>
        <w:t>2</w:t>
      </w:r>
      <w:r>
        <w:rPr>
          <w:rFonts w:hint="eastAsia"/>
          <w:sz w:val="24"/>
          <w:szCs w:val="24"/>
          <w:lang/>
        </w:rPr>
        <w:t>8</w:t>
      </w:r>
      <w:r>
        <w:rPr>
          <w:sz w:val="24"/>
          <w:szCs w:val="24"/>
          <w:lang/>
        </w:rPr>
        <w:fldChar w:fldCharType="end"/>
      </w:r>
      <w:r>
        <w:rPr>
          <w:sz w:val="24"/>
          <w:szCs w:val="24"/>
          <w:lang/>
        </w:rPr>
        <w:fldChar w:fldCharType="end"/>
      </w:r>
    </w:p>
    <w:p>
      <w:pPr>
        <w:pStyle w:val="8"/>
        <w:rPr>
          <w:sz w:val="24"/>
          <w:szCs w:val="24"/>
          <w:lang/>
        </w:rPr>
      </w:pPr>
      <w:r>
        <w:rPr>
          <w:sz w:val="24"/>
          <w:szCs w:val="24"/>
          <w:lang/>
        </w:rPr>
        <w:fldChar w:fldCharType="begin"/>
      </w:r>
      <w:r>
        <w:rPr>
          <w:sz w:val="24"/>
          <w:szCs w:val="24"/>
          <w:lang/>
        </w:rPr>
        <w:instrText xml:space="preserve">HYPERLINK \l "_Toc404896086"</w:instrText>
      </w:r>
      <w:r>
        <w:rPr>
          <w:sz w:val="24"/>
          <w:szCs w:val="24"/>
          <w:lang/>
        </w:rPr>
        <w:fldChar w:fldCharType="separate"/>
      </w:r>
      <w:r>
        <w:rPr>
          <w:sz w:val="24"/>
          <w:szCs w:val="24"/>
          <w:lang/>
        </w:rPr>
        <w:t>Explanation of wording in this Standard</w:t>
      </w:r>
      <w:r>
        <w:rPr>
          <w:sz w:val="24"/>
          <w:szCs w:val="24"/>
          <w:lang/>
        </w:rPr>
        <w:tab/>
      </w:r>
      <w:r>
        <w:rPr>
          <w:rFonts w:hint="eastAsia"/>
          <w:sz w:val="24"/>
          <w:szCs w:val="24"/>
          <w:lang/>
        </w:rPr>
        <w:t>30</w:t>
      </w:r>
      <w:r>
        <w:rPr>
          <w:sz w:val="24"/>
          <w:szCs w:val="24"/>
          <w:lang/>
        </w:rPr>
        <w:fldChar w:fldCharType="end"/>
      </w:r>
    </w:p>
    <w:p>
      <w:pPr>
        <w:pStyle w:val="8"/>
        <w:rPr>
          <w:sz w:val="24"/>
          <w:szCs w:val="24"/>
          <w:lang/>
        </w:rPr>
      </w:pPr>
      <w:r>
        <w:rPr>
          <w:sz w:val="24"/>
          <w:szCs w:val="24"/>
          <w:lang/>
        </w:rPr>
        <w:fldChar w:fldCharType="begin"/>
      </w:r>
      <w:r>
        <w:rPr>
          <w:sz w:val="24"/>
          <w:szCs w:val="24"/>
          <w:lang/>
        </w:rPr>
        <w:instrText xml:space="preserve">HYPERLINK \l "_Toc404896087"</w:instrText>
      </w:r>
      <w:r>
        <w:rPr>
          <w:sz w:val="24"/>
          <w:szCs w:val="24"/>
          <w:lang/>
        </w:rPr>
        <w:fldChar w:fldCharType="separate"/>
      </w:r>
      <w:r>
        <w:rPr>
          <w:sz w:val="24"/>
          <w:szCs w:val="24"/>
          <w:lang/>
        </w:rPr>
        <w:t>List of Quoted Standard</w:t>
      </w:r>
      <w:r>
        <w:rPr>
          <w:sz w:val="24"/>
          <w:szCs w:val="24"/>
          <w:lang/>
        </w:rPr>
        <w:tab/>
      </w:r>
      <w:r>
        <w:rPr>
          <w:rFonts w:hint="eastAsia"/>
          <w:sz w:val="24"/>
          <w:szCs w:val="24"/>
          <w:lang/>
        </w:rPr>
        <w:t>31</w:t>
      </w:r>
      <w:r>
        <w:rPr>
          <w:sz w:val="24"/>
          <w:szCs w:val="24"/>
          <w:lang/>
        </w:rPr>
        <w:fldChar w:fldCharType="end"/>
      </w:r>
    </w:p>
    <w:p>
      <w:pPr>
        <w:pStyle w:val="8"/>
        <w:rPr>
          <w:rFonts w:hint="eastAsia"/>
          <w:sz w:val="24"/>
          <w:szCs w:val="24"/>
          <w:lang/>
        </w:rPr>
        <w:sectPr>
          <w:footerReference r:id="rId4" w:type="default"/>
          <w:type w:val="continuous"/>
          <w:pgSz w:w="11907" w:h="16839"/>
          <w:pgMar w:top="851" w:right="907" w:bottom="851" w:left="1418" w:header="851" w:footer="851" w:gutter="0"/>
          <w:pgNumType w:start="1"/>
          <w:cols w:space="720" w:num="1"/>
          <w:docGrid w:type="lines" w:linePitch="312" w:charSpace="0"/>
        </w:sectPr>
      </w:pPr>
      <w:r>
        <w:rPr>
          <w:sz w:val="24"/>
          <w:szCs w:val="24"/>
          <w:lang/>
        </w:rPr>
        <w:t>Additon：</w:t>
      </w:r>
      <w:r>
        <w:rPr>
          <w:sz w:val="24"/>
          <w:szCs w:val="24"/>
          <w:lang/>
        </w:rPr>
        <w:fldChar w:fldCharType="begin"/>
      </w:r>
      <w:r>
        <w:rPr>
          <w:sz w:val="24"/>
          <w:szCs w:val="24"/>
          <w:lang/>
        </w:rPr>
        <w:instrText xml:space="preserve">HYPERLINK \l "_Toc404896088"</w:instrText>
      </w:r>
      <w:r>
        <w:rPr>
          <w:sz w:val="24"/>
          <w:szCs w:val="24"/>
          <w:lang/>
        </w:rPr>
        <w:fldChar w:fldCharType="separate"/>
      </w:r>
      <w:r>
        <w:rPr>
          <w:sz w:val="24"/>
          <w:szCs w:val="24"/>
          <w:lang/>
        </w:rPr>
        <w:t>Explanation of Provisions</w:t>
      </w:r>
      <w:r>
        <w:rPr>
          <w:sz w:val="24"/>
          <w:szCs w:val="24"/>
          <w:lang/>
        </w:rPr>
        <w:tab/>
      </w:r>
      <w:r>
        <w:rPr>
          <w:sz w:val="24"/>
          <w:szCs w:val="24"/>
          <w:lang/>
        </w:rPr>
        <w:t>3</w:t>
      </w:r>
      <w:r>
        <w:rPr>
          <w:rFonts w:hint="eastAsia"/>
          <w:sz w:val="24"/>
          <w:szCs w:val="24"/>
          <w:lang/>
        </w:rPr>
        <w:t>2</w:t>
      </w:r>
      <w:r>
        <w:rPr>
          <w:sz w:val="24"/>
          <w:szCs w:val="24"/>
          <w:lang/>
        </w:rPr>
        <w:fldChar w:fldCharType="end"/>
      </w:r>
    </w:p>
    <w:p>
      <w:pPr>
        <w:spacing w:line="360" w:lineRule="auto"/>
        <w:outlineLvl w:val="0"/>
        <w:rPr>
          <w:b/>
          <w:bCs/>
          <w:sz w:val="32"/>
          <w:szCs w:val="32"/>
        </w:rPr>
        <w:sectPr>
          <w:pgSz w:w="11907" w:h="16839"/>
          <w:pgMar w:top="851" w:right="907" w:bottom="851" w:left="1418" w:header="851" w:footer="851" w:gutter="0"/>
          <w:pgNumType w:start="1"/>
          <w:cols w:space="720" w:num="1"/>
          <w:docGrid w:type="lines" w:linePitch="312" w:charSpace="0"/>
        </w:sectPr>
      </w:pPr>
    </w:p>
    <w:p>
      <w:pPr>
        <w:pStyle w:val="2"/>
        <w:spacing w:line="300" w:lineRule="auto"/>
        <w:ind w:left="786" w:hanging="360"/>
        <w:jc w:val="center"/>
        <w:rPr>
          <w:rFonts w:hint="eastAsia"/>
          <w:bCs w:val="0"/>
          <w:sz w:val="32"/>
          <w:szCs w:val="32"/>
        </w:rPr>
      </w:pPr>
      <w:bookmarkStart w:id="13" w:name="_Toc24542983"/>
      <w:r>
        <w:rPr>
          <w:bCs w:val="0"/>
          <w:sz w:val="32"/>
          <w:szCs w:val="32"/>
        </w:rPr>
        <w:t>1总</w:t>
      </w:r>
      <w:r>
        <w:rPr>
          <w:rFonts w:hint="eastAsia"/>
          <w:bCs w:val="0"/>
          <w:sz w:val="32"/>
          <w:szCs w:val="32"/>
        </w:rPr>
        <w:t xml:space="preserve">  </w:t>
      </w:r>
      <w:r>
        <w:rPr>
          <w:bCs w:val="0"/>
          <w:sz w:val="32"/>
          <w:szCs w:val="32"/>
        </w:rPr>
        <w:t>则</w:t>
      </w:r>
      <w:bookmarkEnd w:id="0"/>
      <w:bookmarkEnd w:id="13"/>
      <w:bookmarkStart w:id="14" w:name="_Toc406395653"/>
    </w:p>
    <w:p>
      <w:pPr>
        <w:pStyle w:val="26"/>
        <w:spacing w:line="360" w:lineRule="auto"/>
        <w:ind w:firstLine="0" w:firstLineChars="0"/>
        <w:outlineLvl w:val="3"/>
        <w:rPr>
          <w:rFonts w:hint="eastAsia"/>
          <w:szCs w:val="24"/>
        </w:rPr>
      </w:pPr>
      <w:bookmarkStart w:id="15" w:name="_Toc10660257"/>
      <w:r>
        <w:rPr>
          <w:b/>
          <w:bCs/>
          <w:szCs w:val="24"/>
        </w:rPr>
        <w:t>1.0.1</w:t>
      </w:r>
      <w:bookmarkEnd w:id="14"/>
      <w:r>
        <w:rPr>
          <w:rFonts w:hint="eastAsia"/>
          <w:b/>
          <w:bCs/>
          <w:szCs w:val="24"/>
        </w:rPr>
        <w:t xml:space="preserve">  </w:t>
      </w:r>
      <w:r>
        <w:rPr>
          <w:szCs w:val="24"/>
        </w:rPr>
        <w:t>为贯彻落实绿色发展理念，推进</w:t>
      </w:r>
      <w:r>
        <w:rPr>
          <w:rFonts w:hint="eastAsia"/>
          <w:szCs w:val="24"/>
        </w:rPr>
        <w:t>广西</w:t>
      </w:r>
      <w:r>
        <w:rPr>
          <w:szCs w:val="24"/>
        </w:rPr>
        <w:t>绿色建筑高质量发展，节约资源，保护环境，满足人民日益增长的美好生活需要，</w:t>
      </w:r>
      <w:r>
        <w:rPr>
          <w:rFonts w:hint="eastAsia"/>
          <w:szCs w:val="24"/>
        </w:rPr>
        <w:t>依据《绿色建筑评价标准》GB/T50378-2019，</w:t>
      </w:r>
      <w:r>
        <w:rPr>
          <w:szCs w:val="24"/>
        </w:rPr>
        <w:t>制定本</w:t>
      </w:r>
      <w:r>
        <w:rPr>
          <w:rFonts w:hint="eastAsia"/>
          <w:szCs w:val="24"/>
        </w:rPr>
        <w:t>地方</w:t>
      </w:r>
      <w:r>
        <w:rPr>
          <w:szCs w:val="24"/>
        </w:rPr>
        <w:t>标准。</w:t>
      </w:r>
      <w:bookmarkEnd w:id="15"/>
    </w:p>
    <w:p>
      <w:pPr>
        <w:pStyle w:val="26"/>
        <w:spacing w:line="360" w:lineRule="auto"/>
        <w:ind w:firstLine="0" w:firstLineChars="0"/>
        <w:outlineLvl w:val="3"/>
        <w:rPr>
          <w:szCs w:val="24"/>
        </w:rPr>
      </w:pPr>
      <w:bookmarkStart w:id="16" w:name="_Toc406395654"/>
      <w:bookmarkStart w:id="17" w:name="_Toc10660258"/>
      <w:r>
        <w:rPr>
          <w:b/>
          <w:bCs/>
          <w:szCs w:val="24"/>
        </w:rPr>
        <w:t>1.0.2</w:t>
      </w:r>
      <w:bookmarkEnd w:id="16"/>
      <w:r>
        <w:rPr>
          <w:rFonts w:hint="eastAsia"/>
          <w:b/>
          <w:bCs/>
          <w:szCs w:val="24"/>
        </w:rPr>
        <w:t xml:space="preserve">  </w:t>
      </w:r>
      <w:r>
        <w:rPr>
          <w:szCs w:val="24"/>
        </w:rPr>
        <w:t>本标准适用于</w:t>
      </w:r>
      <w:r>
        <w:rPr>
          <w:rFonts w:hint="eastAsia"/>
          <w:szCs w:val="24"/>
        </w:rPr>
        <w:t>广西壮族自治区行政区划范围内</w:t>
      </w:r>
      <w:r>
        <w:rPr>
          <w:szCs w:val="24"/>
        </w:rPr>
        <w:t>民用建筑绿色性能的评价。</w:t>
      </w:r>
      <w:bookmarkEnd w:id="17"/>
      <w:bookmarkStart w:id="18" w:name="_Toc406395655"/>
    </w:p>
    <w:p>
      <w:pPr>
        <w:pStyle w:val="26"/>
        <w:spacing w:line="360" w:lineRule="auto"/>
        <w:ind w:firstLine="0" w:firstLineChars="0"/>
        <w:outlineLvl w:val="3"/>
        <w:rPr>
          <w:szCs w:val="24"/>
        </w:rPr>
      </w:pPr>
      <w:bookmarkStart w:id="19" w:name="_Toc10660259"/>
      <w:r>
        <w:rPr>
          <w:b/>
          <w:bCs/>
          <w:szCs w:val="24"/>
        </w:rPr>
        <w:t>1.0.3</w:t>
      </w:r>
      <w:bookmarkEnd w:id="18"/>
      <w:r>
        <w:rPr>
          <w:rFonts w:hint="eastAsia"/>
          <w:b/>
          <w:bCs/>
          <w:szCs w:val="24"/>
        </w:rPr>
        <w:t xml:space="preserve">  </w:t>
      </w:r>
      <w:r>
        <w:rPr>
          <w:bCs/>
          <w:szCs w:val="24"/>
        </w:rPr>
        <w:t>绿色建筑评价应遵循因地制宜的原则，结合建筑所在地域的气候、环境、资源、经济和文化等特点，对建筑全寿命期内的安全耐久、健康舒适、生活便利、资源节约、环境宜居等性能进行综合评价。</w:t>
      </w:r>
      <w:bookmarkEnd w:id="19"/>
    </w:p>
    <w:p>
      <w:pPr>
        <w:pStyle w:val="26"/>
        <w:adjustRightInd/>
        <w:spacing w:line="360" w:lineRule="auto"/>
        <w:ind w:firstLine="0" w:firstLineChars="0"/>
        <w:outlineLvl w:val="3"/>
        <w:rPr>
          <w:rFonts w:hint="eastAsia"/>
          <w:szCs w:val="24"/>
        </w:rPr>
      </w:pPr>
      <w:bookmarkStart w:id="20" w:name="_Toc406395656"/>
      <w:bookmarkStart w:id="21" w:name="_Toc10660260"/>
      <w:r>
        <w:rPr>
          <w:b/>
          <w:bCs/>
          <w:szCs w:val="24"/>
        </w:rPr>
        <w:t>1.0.4</w:t>
      </w:r>
      <w:bookmarkEnd w:id="20"/>
      <w:r>
        <w:rPr>
          <w:rFonts w:hint="eastAsia"/>
          <w:b/>
          <w:bCs/>
          <w:szCs w:val="24"/>
        </w:rPr>
        <w:t xml:space="preserve">  </w:t>
      </w:r>
      <w:r>
        <w:rPr>
          <w:szCs w:val="24"/>
        </w:rPr>
        <w:t>绿色建筑应结合地形地貌进行场地设计与建筑布局，且建筑布局应与场地的气候条件和地理环境相适应，并应对场地的风环境、光环境、热环境、声环境等加以组织和利用。</w:t>
      </w:r>
      <w:bookmarkEnd w:id="21"/>
    </w:p>
    <w:p>
      <w:pPr>
        <w:pStyle w:val="26"/>
        <w:adjustRightInd/>
        <w:spacing w:line="360" w:lineRule="auto"/>
        <w:ind w:firstLine="0" w:firstLineChars="0"/>
        <w:outlineLvl w:val="3"/>
        <w:rPr>
          <w:rFonts w:hint="eastAsia"/>
          <w:szCs w:val="24"/>
        </w:rPr>
      </w:pPr>
      <w:r>
        <w:rPr>
          <w:rFonts w:hint="eastAsia"/>
          <w:b/>
          <w:bCs/>
          <w:szCs w:val="24"/>
        </w:rPr>
        <w:t>1.0.5</w:t>
      </w:r>
      <w:r>
        <w:rPr>
          <w:rFonts w:hint="eastAsia"/>
          <w:szCs w:val="24"/>
        </w:rPr>
        <w:t xml:space="preserve">  绿色建筑规划应适应广西气候类型多样性，广西大部分地区为夏热冬暖，其气候特征为夏长冬短，雨、热资源丰富，且雨热同季；广西北端为夏热冬冷地区，其气候特征为夏季闷热，冬季湿冷，气温日较差小，年降水量大，春末夏初多为阴雨天气。同时应综合考虑基础薄弱、发展快速的经济特点和民族聚居的人文特点。</w:t>
      </w:r>
    </w:p>
    <w:p>
      <w:pPr>
        <w:pStyle w:val="26"/>
        <w:spacing w:line="360" w:lineRule="auto"/>
        <w:ind w:firstLine="0" w:firstLineChars="0"/>
        <w:outlineLvl w:val="3"/>
        <w:rPr>
          <w:szCs w:val="24"/>
        </w:rPr>
      </w:pPr>
      <w:bookmarkStart w:id="22" w:name="_Toc10660261"/>
      <w:r>
        <w:rPr>
          <w:b/>
          <w:bCs/>
          <w:szCs w:val="24"/>
        </w:rPr>
        <w:t>1.0.</w:t>
      </w:r>
      <w:r>
        <w:rPr>
          <w:rFonts w:hint="eastAsia"/>
          <w:b/>
          <w:bCs/>
          <w:szCs w:val="24"/>
        </w:rPr>
        <w:t xml:space="preserve">6  </w:t>
      </w:r>
      <w:r>
        <w:rPr>
          <w:szCs w:val="24"/>
        </w:rPr>
        <w:t>绿色建筑的评价除应符合本标准的规定外，尚应符合国家</w:t>
      </w:r>
      <w:r>
        <w:rPr>
          <w:rFonts w:hint="eastAsia"/>
          <w:szCs w:val="24"/>
        </w:rPr>
        <w:t>、行业和广西地方</w:t>
      </w:r>
      <w:r>
        <w:rPr>
          <w:szCs w:val="24"/>
        </w:rPr>
        <w:t>现行有关标准的规定。</w:t>
      </w:r>
      <w:bookmarkEnd w:id="22"/>
    </w:p>
    <w:p>
      <w:pPr>
        <w:spacing w:line="360" w:lineRule="auto"/>
        <w:rPr>
          <w:sz w:val="24"/>
          <w:szCs w:val="24"/>
        </w:rPr>
      </w:pPr>
    </w:p>
    <w:p>
      <w:pPr>
        <w:pStyle w:val="2"/>
        <w:spacing w:line="300" w:lineRule="auto"/>
        <w:ind w:left="786" w:hanging="360"/>
        <w:jc w:val="center"/>
        <w:rPr>
          <w:b w:val="0"/>
          <w:bCs w:val="0"/>
          <w:sz w:val="32"/>
          <w:szCs w:val="32"/>
        </w:rPr>
      </w:pPr>
      <w:r>
        <w:rPr>
          <w:b w:val="0"/>
          <w:bCs w:val="0"/>
          <w:sz w:val="24"/>
          <w:szCs w:val="24"/>
        </w:rPr>
        <w:br w:type="page"/>
      </w:r>
      <w:bookmarkStart w:id="23" w:name="_Toc406395657"/>
      <w:bookmarkStart w:id="24" w:name="_Toc406396078"/>
      <w:bookmarkStart w:id="25" w:name="_Toc406396130"/>
      <w:bookmarkStart w:id="26" w:name="_Toc420486087"/>
      <w:bookmarkStart w:id="27" w:name="_Toc10660062"/>
      <w:bookmarkStart w:id="28" w:name="_Toc10660262"/>
      <w:bookmarkStart w:id="29" w:name="_Toc11854269"/>
      <w:bookmarkStart w:id="30" w:name="_Toc24542984"/>
      <w:r>
        <w:rPr>
          <w:bCs w:val="0"/>
          <w:sz w:val="32"/>
          <w:szCs w:val="32"/>
        </w:rPr>
        <w:t>2 术</w:t>
      </w:r>
      <w:r>
        <w:rPr>
          <w:rFonts w:hint="eastAsia"/>
          <w:bCs w:val="0"/>
          <w:sz w:val="32"/>
          <w:szCs w:val="32"/>
        </w:rPr>
        <w:t xml:space="preserve">  </w:t>
      </w:r>
      <w:r>
        <w:rPr>
          <w:bCs w:val="0"/>
          <w:sz w:val="32"/>
          <w:szCs w:val="32"/>
        </w:rPr>
        <w:t>语</w:t>
      </w:r>
      <w:bookmarkEnd w:id="23"/>
      <w:bookmarkEnd w:id="24"/>
      <w:bookmarkEnd w:id="25"/>
      <w:bookmarkEnd w:id="26"/>
      <w:bookmarkEnd w:id="27"/>
      <w:bookmarkEnd w:id="28"/>
      <w:bookmarkEnd w:id="29"/>
      <w:bookmarkEnd w:id="30"/>
    </w:p>
    <w:p>
      <w:pPr>
        <w:spacing w:line="360" w:lineRule="auto"/>
        <w:rPr>
          <w:sz w:val="24"/>
          <w:szCs w:val="24"/>
        </w:rPr>
      </w:pPr>
    </w:p>
    <w:p>
      <w:pPr>
        <w:pStyle w:val="26"/>
        <w:spacing w:line="360" w:lineRule="auto"/>
        <w:ind w:firstLine="0" w:firstLineChars="0"/>
        <w:outlineLvl w:val="3"/>
        <w:rPr>
          <w:szCs w:val="24"/>
        </w:rPr>
      </w:pPr>
      <w:bookmarkStart w:id="31" w:name="_Toc10660263"/>
      <w:bookmarkStart w:id="32" w:name="_Toc406395658"/>
      <w:r>
        <w:rPr>
          <w:b/>
          <w:bCs/>
          <w:szCs w:val="24"/>
        </w:rPr>
        <w:t>2.0.1</w:t>
      </w:r>
      <w:r>
        <w:rPr>
          <w:rFonts w:hint="eastAsia"/>
          <w:b/>
          <w:szCs w:val="24"/>
        </w:rPr>
        <w:t xml:space="preserve">  </w:t>
      </w:r>
      <w:r>
        <w:rPr>
          <w:szCs w:val="24"/>
        </w:rPr>
        <w:t>绿色建筑  green building</w:t>
      </w:r>
      <w:bookmarkEnd w:id="31"/>
    </w:p>
    <w:bookmarkEnd w:id="32"/>
    <w:p>
      <w:pPr>
        <w:pStyle w:val="25"/>
        <w:spacing w:before="0" w:beforeAutospacing="0" w:after="0" w:afterAutospacing="0" w:line="360" w:lineRule="auto"/>
        <w:ind w:firstLine="480" w:firstLineChars="200"/>
        <w:jc w:val="both"/>
        <w:rPr>
          <w:rFonts w:ascii="Times New Roman" w:hAnsi="Times New Roman" w:cs="Times New Roman"/>
        </w:rPr>
      </w:pPr>
      <w:r>
        <w:rPr>
          <w:rFonts w:ascii="Times New Roman" w:hAnsi="Times New Roman" w:cs="Times New Roman"/>
        </w:rPr>
        <w:t>在全寿命期内，节约资源、保护环境、减少污染，为人们提供健康、适用、高效的使用空间，最大限度地实现人与自然和谐共生的高质量建筑。</w:t>
      </w:r>
      <w:bookmarkStart w:id="33" w:name="_Toc406395659"/>
    </w:p>
    <w:p>
      <w:pPr>
        <w:pStyle w:val="26"/>
        <w:spacing w:line="360" w:lineRule="auto"/>
        <w:ind w:firstLine="0" w:firstLineChars="0"/>
        <w:outlineLvl w:val="3"/>
        <w:rPr>
          <w:szCs w:val="24"/>
        </w:rPr>
      </w:pPr>
      <w:bookmarkStart w:id="34" w:name="_Toc10660264"/>
      <w:r>
        <w:rPr>
          <w:b/>
          <w:bCs/>
          <w:szCs w:val="24"/>
        </w:rPr>
        <w:t>2.0.2</w:t>
      </w:r>
      <w:r>
        <w:rPr>
          <w:rFonts w:hint="eastAsia"/>
          <w:b/>
          <w:szCs w:val="24"/>
        </w:rPr>
        <w:t xml:space="preserve">  </w:t>
      </w:r>
      <w:r>
        <w:rPr>
          <w:szCs w:val="24"/>
        </w:rPr>
        <w:t>绿色性能  green performance</w:t>
      </w:r>
      <w:bookmarkEnd w:id="34"/>
    </w:p>
    <w:bookmarkEnd w:id="33"/>
    <w:p>
      <w:pPr>
        <w:pStyle w:val="25"/>
        <w:spacing w:before="0" w:beforeAutospacing="0" w:after="0" w:afterAutospacing="0" w:line="360" w:lineRule="auto"/>
        <w:ind w:firstLine="480" w:firstLineChars="200"/>
        <w:jc w:val="both"/>
        <w:rPr>
          <w:rFonts w:ascii="Times New Roman" w:hAnsi="Times New Roman" w:cs="Times New Roman"/>
        </w:rPr>
      </w:pPr>
      <w:r>
        <w:rPr>
          <w:rFonts w:ascii="Times New Roman" w:hAnsi="Times New Roman" w:cs="Times New Roman"/>
        </w:rPr>
        <w:t>涉及建筑安全耐久、健康舒适、生活便利、资源节约（节地、节能、节水、节材）和环境宜居等方面的综合性能。</w:t>
      </w:r>
      <w:bookmarkStart w:id="35" w:name="_Toc406395660"/>
    </w:p>
    <w:p>
      <w:pPr>
        <w:pStyle w:val="26"/>
        <w:spacing w:line="360" w:lineRule="auto"/>
        <w:ind w:firstLine="0" w:firstLineChars="0"/>
        <w:outlineLvl w:val="3"/>
        <w:rPr>
          <w:szCs w:val="24"/>
        </w:rPr>
      </w:pPr>
      <w:bookmarkStart w:id="36" w:name="_Toc10660265"/>
      <w:r>
        <w:rPr>
          <w:b/>
          <w:bCs/>
          <w:szCs w:val="24"/>
        </w:rPr>
        <w:t>2.0.3</w:t>
      </w:r>
      <w:bookmarkEnd w:id="35"/>
      <w:r>
        <w:rPr>
          <w:rFonts w:hint="eastAsia"/>
          <w:b/>
          <w:szCs w:val="24"/>
        </w:rPr>
        <w:t xml:space="preserve">  </w:t>
      </w:r>
      <w:r>
        <w:rPr>
          <w:szCs w:val="24"/>
        </w:rPr>
        <w:t>全装修  decorated</w:t>
      </w:r>
      <w:bookmarkEnd w:id="36"/>
    </w:p>
    <w:p>
      <w:pPr>
        <w:pStyle w:val="25"/>
        <w:spacing w:before="0" w:beforeAutospacing="0" w:after="0" w:afterAutospacing="0" w:line="360" w:lineRule="auto"/>
        <w:ind w:firstLine="480" w:firstLineChars="200"/>
        <w:jc w:val="both"/>
        <w:rPr>
          <w:rFonts w:ascii="Times New Roman" w:hAnsi="Times New Roman" w:cs="Times New Roman"/>
        </w:rPr>
      </w:pPr>
      <w:bookmarkStart w:id="37" w:name="_Toc406395661"/>
      <w:r>
        <w:rPr>
          <w:rFonts w:ascii="Times New Roman" w:hAnsi="Times New Roman" w:cs="Times New Roman"/>
        </w:rPr>
        <w:t>在交付前，住宅建筑内部墙面、顶面、地面全部铺贴、粉刷完成，门窗、固定家具、设备管线、开关插座及厨房、卫生间固定设施安装到位；公共建筑公共区域的固定面全部铺贴、粉刷完成，水、暖、电、通风等基本设备全部安装到位。</w:t>
      </w:r>
    </w:p>
    <w:p>
      <w:pPr>
        <w:pStyle w:val="25"/>
        <w:spacing w:before="0" w:beforeAutospacing="0" w:after="0" w:afterAutospacing="0" w:line="360" w:lineRule="auto"/>
        <w:jc w:val="both"/>
        <w:outlineLvl w:val="3"/>
        <w:rPr>
          <w:rFonts w:ascii="Times New Roman" w:hAnsi="Times New Roman" w:cs="Times New Roman"/>
        </w:rPr>
      </w:pPr>
      <w:r>
        <w:rPr>
          <w:rFonts w:ascii="Times New Roman" w:hAnsi="Times New Roman" w:cs="Times New Roman"/>
          <w:b/>
          <w:bCs/>
        </w:rPr>
        <w:t>2.0.4</w:t>
      </w:r>
      <w:r>
        <w:rPr>
          <w:rFonts w:hint="eastAsia" w:ascii="Times New Roman" w:hAnsi="Times New Roman"/>
          <w:b/>
        </w:rPr>
        <w:t xml:space="preserve">  </w:t>
      </w:r>
      <w:r>
        <w:rPr>
          <w:rFonts w:ascii="Times New Roman" w:hAnsi="Times New Roman" w:cs="Times New Roman"/>
        </w:rPr>
        <w:t>热岛强度  heat island intensity</w:t>
      </w:r>
    </w:p>
    <w:bookmarkEnd w:id="37"/>
    <w:p>
      <w:pPr>
        <w:pStyle w:val="25"/>
        <w:spacing w:before="0" w:beforeAutospacing="0" w:after="0" w:afterAutospacing="0" w:line="360" w:lineRule="auto"/>
        <w:ind w:firstLine="480" w:firstLineChars="200"/>
        <w:jc w:val="both"/>
        <w:rPr>
          <w:rFonts w:ascii="Times New Roman" w:hAnsi="Times New Roman" w:cs="Times New Roman"/>
        </w:rPr>
      </w:pPr>
      <w:r>
        <w:rPr>
          <w:rFonts w:ascii="Times New Roman" w:hAnsi="Times New Roman" w:cs="Times New Roman"/>
        </w:rPr>
        <w:t>城市内一个区域的气温与郊区气温的差别，用二者代表性测点气温的差值表示，是城市热岛效应的表征参数。</w:t>
      </w:r>
      <w:bookmarkStart w:id="38" w:name="_Toc406395662"/>
    </w:p>
    <w:p>
      <w:pPr>
        <w:pStyle w:val="26"/>
        <w:spacing w:line="360" w:lineRule="auto"/>
        <w:ind w:firstLine="0" w:firstLineChars="0"/>
        <w:outlineLvl w:val="3"/>
        <w:rPr>
          <w:szCs w:val="24"/>
        </w:rPr>
      </w:pPr>
      <w:bookmarkStart w:id="39" w:name="_Toc10660266"/>
      <w:r>
        <w:rPr>
          <w:b/>
          <w:bCs/>
          <w:szCs w:val="24"/>
        </w:rPr>
        <w:t>2.0.5</w:t>
      </w:r>
      <w:r>
        <w:rPr>
          <w:rFonts w:hint="eastAsia"/>
          <w:b/>
          <w:szCs w:val="24"/>
        </w:rPr>
        <w:t xml:space="preserve">  </w:t>
      </w:r>
      <w:r>
        <w:rPr>
          <w:szCs w:val="24"/>
        </w:rPr>
        <w:t>绿色建材  green building material</w:t>
      </w:r>
      <w:bookmarkEnd w:id="39"/>
    </w:p>
    <w:bookmarkEnd w:id="38"/>
    <w:p>
      <w:pPr>
        <w:pStyle w:val="25"/>
        <w:spacing w:before="0" w:beforeAutospacing="0" w:after="0" w:afterAutospacing="0" w:line="360" w:lineRule="auto"/>
        <w:ind w:firstLine="495"/>
        <w:jc w:val="both"/>
        <w:rPr>
          <w:rFonts w:hint="eastAsia" w:ascii="Times New Roman" w:hAnsi="Times New Roman" w:cs="Times New Roman"/>
        </w:rPr>
      </w:pPr>
      <w:bookmarkStart w:id="40" w:name="_Toc406395663"/>
      <w:r>
        <w:rPr>
          <w:rFonts w:ascii="Times New Roman" w:hAnsi="Times New Roman" w:cs="Times New Roman"/>
        </w:rPr>
        <w:t>在全寿命期内可减少对资源的消耗、减轻对生态环境的影响，具有节能、减排、安全、健康、便利和可循环特征的建材产品。</w:t>
      </w:r>
    </w:p>
    <w:p>
      <w:pPr>
        <w:pStyle w:val="26"/>
        <w:spacing w:line="360" w:lineRule="auto"/>
        <w:ind w:firstLine="0" w:firstLineChars="0"/>
        <w:outlineLvl w:val="3"/>
        <w:rPr>
          <w:szCs w:val="24"/>
        </w:rPr>
      </w:pPr>
      <w:r>
        <w:rPr>
          <w:b/>
          <w:szCs w:val="24"/>
        </w:rPr>
        <w:t>2.0.</w:t>
      </w:r>
      <w:r>
        <w:rPr>
          <w:rFonts w:hint="eastAsia"/>
          <w:b/>
          <w:szCs w:val="24"/>
        </w:rPr>
        <w:t>6</w:t>
      </w:r>
      <w:r>
        <w:rPr>
          <w:rFonts w:hint="eastAsia"/>
          <w:szCs w:val="24"/>
        </w:rPr>
        <w:t xml:space="preserve">  </w:t>
      </w:r>
      <w:r>
        <w:rPr>
          <w:szCs w:val="24"/>
        </w:rPr>
        <w:t xml:space="preserve">年径流总量控制率  annual runoff volume capture ratio </w:t>
      </w:r>
    </w:p>
    <w:p>
      <w:pPr>
        <w:spacing w:line="360" w:lineRule="auto"/>
        <w:ind w:firstLine="480" w:firstLineChars="200"/>
        <w:rPr>
          <w:sz w:val="24"/>
          <w:szCs w:val="24"/>
        </w:rPr>
      </w:pPr>
      <w:r>
        <w:rPr>
          <w:sz w:val="24"/>
          <w:szCs w:val="24"/>
        </w:rPr>
        <w:t>通过自然和人工强化的入渗、滞蓄、调蓄和收集回用，场地内累计一年得到控制的雨水量占全年总降雨量的比例。</w:t>
      </w:r>
    </w:p>
    <w:p>
      <w:pPr>
        <w:pStyle w:val="26"/>
        <w:spacing w:line="360" w:lineRule="auto"/>
        <w:ind w:firstLine="0" w:firstLineChars="0"/>
        <w:outlineLvl w:val="3"/>
        <w:rPr>
          <w:szCs w:val="24"/>
        </w:rPr>
      </w:pPr>
      <w:r>
        <w:rPr>
          <w:b/>
          <w:szCs w:val="24"/>
        </w:rPr>
        <w:t>2.0.</w:t>
      </w:r>
      <w:r>
        <w:rPr>
          <w:rFonts w:hint="eastAsia"/>
          <w:b/>
          <w:szCs w:val="24"/>
        </w:rPr>
        <w:t>7</w:t>
      </w:r>
      <w:r>
        <w:rPr>
          <w:rFonts w:hint="eastAsia"/>
          <w:szCs w:val="24"/>
        </w:rPr>
        <w:t xml:space="preserve">  </w:t>
      </w:r>
      <w:r>
        <w:rPr>
          <w:szCs w:val="24"/>
        </w:rPr>
        <w:t>可再生能源  renewable energy</w:t>
      </w:r>
    </w:p>
    <w:p>
      <w:pPr>
        <w:spacing w:line="360" w:lineRule="auto"/>
        <w:ind w:firstLine="480" w:firstLineChars="200"/>
        <w:rPr>
          <w:sz w:val="24"/>
          <w:szCs w:val="24"/>
        </w:rPr>
      </w:pPr>
      <w:r>
        <w:rPr>
          <w:sz w:val="24"/>
          <w:szCs w:val="24"/>
        </w:rPr>
        <w:t>风能、太阳能、水能、生物质能、地热能和海洋能等非化石能源的统称。</w:t>
      </w:r>
    </w:p>
    <w:p>
      <w:pPr>
        <w:pStyle w:val="26"/>
        <w:spacing w:line="360" w:lineRule="auto"/>
        <w:ind w:firstLine="0" w:firstLineChars="0"/>
        <w:outlineLvl w:val="3"/>
        <w:rPr>
          <w:szCs w:val="24"/>
        </w:rPr>
      </w:pPr>
      <w:r>
        <w:rPr>
          <w:b/>
          <w:szCs w:val="24"/>
        </w:rPr>
        <w:t>2.0.</w:t>
      </w:r>
      <w:r>
        <w:rPr>
          <w:rFonts w:hint="eastAsia"/>
          <w:b/>
          <w:szCs w:val="24"/>
        </w:rPr>
        <w:t>8</w:t>
      </w:r>
      <w:r>
        <w:rPr>
          <w:rFonts w:hint="eastAsia"/>
          <w:szCs w:val="24"/>
        </w:rPr>
        <w:t xml:space="preserve">  </w:t>
      </w:r>
      <w:r>
        <w:rPr>
          <w:szCs w:val="24"/>
        </w:rPr>
        <w:t>再生水  reclaimed water</w:t>
      </w:r>
    </w:p>
    <w:p>
      <w:pPr>
        <w:spacing w:line="360" w:lineRule="auto"/>
        <w:ind w:firstLine="480" w:firstLineChars="200"/>
        <w:rPr>
          <w:sz w:val="24"/>
          <w:szCs w:val="24"/>
        </w:rPr>
      </w:pPr>
      <w:r>
        <w:rPr>
          <w:sz w:val="24"/>
          <w:szCs w:val="24"/>
        </w:rPr>
        <w:t>污水经处理后，达到规定水质标准、满足一定使用要求的非饮用水。</w:t>
      </w:r>
    </w:p>
    <w:p>
      <w:pPr>
        <w:pStyle w:val="26"/>
        <w:spacing w:line="360" w:lineRule="auto"/>
        <w:ind w:firstLine="0" w:firstLineChars="0"/>
        <w:outlineLvl w:val="3"/>
        <w:rPr>
          <w:szCs w:val="24"/>
        </w:rPr>
      </w:pPr>
      <w:r>
        <w:rPr>
          <w:b/>
          <w:szCs w:val="24"/>
        </w:rPr>
        <w:t>2.0.</w:t>
      </w:r>
      <w:r>
        <w:rPr>
          <w:rFonts w:hint="eastAsia"/>
          <w:b/>
          <w:szCs w:val="24"/>
        </w:rPr>
        <w:t>9</w:t>
      </w:r>
      <w:r>
        <w:rPr>
          <w:rFonts w:hint="eastAsia"/>
          <w:szCs w:val="24"/>
        </w:rPr>
        <w:t xml:space="preserve">  </w:t>
      </w:r>
      <w:r>
        <w:rPr>
          <w:szCs w:val="24"/>
        </w:rPr>
        <w:t>非传统水源  nontraditional water source</w:t>
      </w:r>
    </w:p>
    <w:p>
      <w:pPr>
        <w:spacing w:line="360" w:lineRule="auto"/>
        <w:ind w:firstLine="480" w:firstLineChars="200"/>
        <w:rPr>
          <w:sz w:val="24"/>
          <w:szCs w:val="24"/>
        </w:rPr>
      </w:pPr>
      <w:r>
        <w:rPr>
          <w:sz w:val="24"/>
          <w:szCs w:val="24"/>
        </w:rPr>
        <w:t>不同于传统地表水供水和地下水供水的水源，包括再生水、雨水、海水等。</w:t>
      </w:r>
    </w:p>
    <w:p>
      <w:pPr>
        <w:pStyle w:val="26"/>
        <w:spacing w:line="360" w:lineRule="auto"/>
        <w:ind w:firstLine="0" w:firstLineChars="0"/>
        <w:outlineLvl w:val="3"/>
        <w:rPr>
          <w:szCs w:val="24"/>
        </w:rPr>
      </w:pPr>
      <w:r>
        <w:rPr>
          <w:b/>
          <w:szCs w:val="24"/>
        </w:rPr>
        <w:t>2.0.</w:t>
      </w:r>
      <w:r>
        <w:rPr>
          <w:rFonts w:hint="eastAsia"/>
          <w:b/>
          <w:szCs w:val="24"/>
        </w:rPr>
        <w:t xml:space="preserve">10 </w:t>
      </w:r>
      <w:r>
        <w:rPr>
          <w:rFonts w:hint="eastAsia"/>
          <w:szCs w:val="24"/>
        </w:rPr>
        <w:t xml:space="preserve"> </w:t>
      </w:r>
      <w:r>
        <w:rPr>
          <w:szCs w:val="24"/>
        </w:rPr>
        <w:t>可再利用材料 reusable material</w:t>
      </w:r>
    </w:p>
    <w:p>
      <w:pPr>
        <w:spacing w:line="360" w:lineRule="auto"/>
        <w:rPr>
          <w:sz w:val="24"/>
          <w:szCs w:val="24"/>
        </w:rPr>
      </w:pPr>
      <w:r>
        <w:rPr>
          <w:sz w:val="24"/>
          <w:szCs w:val="24"/>
        </w:rPr>
        <w:t>不改变物质形态可直接再利用的，或经过组合、修复后可直接再利用的回收材料。</w:t>
      </w:r>
    </w:p>
    <w:p>
      <w:pPr>
        <w:pStyle w:val="26"/>
        <w:spacing w:line="360" w:lineRule="auto"/>
        <w:ind w:firstLine="0" w:firstLineChars="0"/>
        <w:outlineLvl w:val="3"/>
        <w:rPr>
          <w:szCs w:val="24"/>
        </w:rPr>
      </w:pPr>
      <w:r>
        <w:rPr>
          <w:b/>
          <w:szCs w:val="24"/>
        </w:rPr>
        <w:t>2.0.</w:t>
      </w:r>
      <w:r>
        <w:rPr>
          <w:rFonts w:hint="eastAsia"/>
          <w:b/>
          <w:szCs w:val="24"/>
        </w:rPr>
        <w:t>11</w:t>
      </w:r>
      <w:r>
        <w:rPr>
          <w:rFonts w:hint="eastAsia"/>
          <w:szCs w:val="24"/>
        </w:rPr>
        <w:t xml:space="preserve">  </w:t>
      </w:r>
      <w:r>
        <w:rPr>
          <w:szCs w:val="24"/>
        </w:rPr>
        <w:t>可再循环材料  recyclable material</w:t>
      </w:r>
    </w:p>
    <w:p>
      <w:pPr>
        <w:spacing w:line="360" w:lineRule="auto"/>
        <w:ind w:firstLine="480" w:firstLineChars="200"/>
        <w:rPr>
          <w:sz w:val="24"/>
          <w:szCs w:val="24"/>
        </w:rPr>
      </w:pPr>
      <w:r>
        <w:rPr>
          <w:sz w:val="24"/>
          <w:szCs w:val="24"/>
        </w:rPr>
        <w:t>通过改变物质形态可实现循环利用的回收材料。</w:t>
      </w:r>
    </w:p>
    <w:p>
      <w:pPr>
        <w:pStyle w:val="26"/>
        <w:spacing w:line="360" w:lineRule="auto"/>
        <w:ind w:firstLine="0" w:firstLineChars="0"/>
        <w:outlineLvl w:val="3"/>
        <w:rPr>
          <w:szCs w:val="24"/>
        </w:rPr>
      </w:pPr>
      <w:r>
        <w:rPr>
          <w:rFonts w:hint="eastAsia"/>
          <w:b/>
          <w:szCs w:val="24"/>
        </w:rPr>
        <w:t>2</w:t>
      </w:r>
      <w:r>
        <w:rPr>
          <w:b/>
          <w:szCs w:val="24"/>
        </w:rPr>
        <w:t>.0.1</w:t>
      </w:r>
      <w:r>
        <w:rPr>
          <w:rFonts w:hint="eastAsia"/>
          <w:b/>
          <w:szCs w:val="24"/>
        </w:rPr>
        <w:t>2</w:t>
      </w:r>
      <w:r>
        <w:rPr>
          <w:b/>
          <w:szCs w:val="24"/>
        </w:rPr>
        <w:t xml:space="preserve"> </w:t>
      </w:r>
      <w:r>
        <w:rPr>
          <w:szCs w:val="24"/>
        </w:rPr>
        <w:t xml:space="preserve"> </w:t>
      </w:r>
      <w:r>
        <w:rPr>
          <w:rFonts w:hint="eastAsia"/>
          <w:szCs w:val="24"/>
        </w:rPr>
        <w:t>交通干线</w:t>
      </w:r>
      <w:r>
        <w:rPr>
          <w:szCs w:val="24"/>
        </w:rPr>
        <w:t xml:space="preserve"> traffic artery</w:t>
      </w:r>
    </w:p>
    <w:p>
      <w:pPr>
        <w:spacing w:line="360" w:lineRule="auto"/>
        <w:rPr>
          <w:sz w:val="24"/>
          <w:szCs w:val="24"/>
        </w:rPr>
      </w:pPr>
      <w:r>
        <w:rPr>
          <w:rFonts w:hint="eastAsia"/>
          <w:sz w:val="24"/>
          <w:szCs w:val="24"/>
        </w:rPr>
        <w:t xml:space="preserve">    交通干线是指铁路（铁路专用线除外）、高速公路、一级公路、二级公路、城市快速路、城市主干路、城市次干路、城市轨道交通线路（地面段）、内河航道，应根据铁路、交通、城市等规划确定。</w:t>
      </w:r>
    </w:p>
    <w:p>
      <w:pPr>
        <w:pStyle w:val="25"/>
        <w:spacing w:before="0" w:beforeAutospacing="0" w:after="0" w:afterAutospacing="0" w:line="360" w:lineRule="auto"/>
        <w:ind w:firstLine="495"/>
        <w:jc w:val="both"/>
        <w:rPr>
          <w:rFonts w:ascii="Times New Roman" w:hAnsi="Times New Roman" w:cs="Times New Roman"/>
        </w:rPr>
      </w:pPr>
    </w:p>
    <w:bookmarkEnd w:id="40"/>
    <w:p>
      <w:pPr>
        <w:pStyle w:val="25"/>
        <w:spacing w:before="0" w:beforeAutospacing="0" w:after="0" w:afterAutospacing="0" w:line="360" w:lineRule="auto"/>
        <w:ind w:firstLine="495"/>
        <w:jc w:val="both"/>
        <w:rPr>
          <w:rFonts w:hint="eastAsia" w:ascii="Times New Roman" w:hAnsi="Times New Roman" w:cs="Times New Roman"/>
        </w:rPr>
      </w:pPr>
      <w:bookmarkStart w:id="41" w:name="_Toc406395666"/>
      <w:bookmarkStart w:id="42" w:name="_Toc406396079"/>
      <w:bookmarkStart w:id="43" w:name="_Toc406396131"/>
      <w:bookmarkStart w:id="44" w:name="_Toc420486088"/>
      <w:bookmarkStart w:id="45" w:name="_Toc10660063"/>
      <w:bookmarkStart w:id="46" w:name="_Toc10660267"/>
      <w:bookmarkStart w:id="47" w:name="_Toc11854270"/>
      <w:bookmarkStart w:id="48" w:name="_Toc24542985"/>
    </w:p>
    <w:p>
      <w:pPr>
        <w:pStyle w:val="25"/>
        <w:spacing w:before="0" w:beforeAutospacing="0" w:after="0" w:afterAutospacing="0" w:line="360" w:lineRule="auto"/>
        <w:ind w:firstLine="495"/>
        <w:jc w:val="both"/>
        <w:rPr>
          <w:rFonts w:hint="eastAsia" w:ascii="Times New Roman" w:hAnsi="Times New Roman" w:cs="Times New Roman"/>
        </w:rPr>
      </w:pPr>
    </w:p>
    <w:p>
      <w:pPr>
        <w:pStyle w:val="25"/>
        <w:spacing w:before="0" w:beforeAutospacing="0" w:after="0" w:afterAutospacing="0" w:line="360" w:lineRule="auto"/>
        <w:ind w:firstLine="495"/>
        <w:jc w:val="both"/>
        <w:rPr>
          <w:rFonts w:hint="eastAsia" w:ascii="Times New Roman" w:hAnsi="Times New Roman" w:cs="Times New Roman"/>
        </w:rPr>
      </w:pPr>
    </w:p>
    <w:p>
      <w:pPr>
        <w:pStyle w:val="25"/>
        <w:spacing w:before="0" w:beforeAutospacing="0" w:after="0" w:afterAutospacing="0" w:line="360" w:lineRule="auto"/>
        <w:ind w:firstLine="495"/>
        <w:jc w:val="both"/>
        <w:rPr>
          <w:rFonts w:hint="eastAsia" w:ascii="Times New Roman" w:hAnsi="Times New Roman" w:cs="Times New Roman"/>
        </w:rPr>
      </w:pPr>
    </w:p>
    <w:p>
      <w:pPr>
        <w:pStyle w:val="25"/>
        <w:spacing w:before="0" w:beforeAutospacing="0" w:after="0" w:afterAutospacing="0" w:line="360" w:lineRule="auto"/>
        <w:ind w:firstLine="495"/>
        <w:jc w:val="both"/>
        <w:rPr>
          <w:rFonts w:hint="eastAsia" w:ascii="Times New Roman" w:hAnsi="Times New Roman" w:cs="Times New Roman"/>
        </w:rPr>
      </w:pPr>
    </w:p>
    <w:p>
      <w:pPr>
        <w:pStyle w:val="25"/>
        <w:spacing w:before="0" w:beforeAutospacing="0" w:after="0" w:afterAutospacing="0" w:line="360" w:lineRule="auto"/>
        <w:ind w:firstLine="495"/>
        <w:jc w:val="both"/>
        <w:rPr>
          <w:rFonts w:hint="eastAsia" w:ascii="Times New Roman" w:hAnsi="Times New Roman" w:cs="Times New Roman"/>
        </w:rPr>
      </w:pPr>
    </w:p>
    <w:p>
      <w:pPr>
        <w:pStyle w:val="25"/>
        <w:spacing w:before="0" w:beforeAutospacing="0" w:after="0" w:afterAutospacing="0" w:line="360" w:lineRule="auto"/>
        <w:ind w:firstLine="495"/>
        <w:jc w:val="both"/>
        <w:rPr>
          <w:rFonts w:hint="eastAsia" w:ascii="Times New Roman" w:hAnsi="Times New Roman" w:cs="Times New Roman"/>
        </w:rPr>
      </w:pPr>
    </w:p>
    <w:p>
      <w:pPr>
        <w:pStyle w:val="25"/>
        <w:spacing w:before="0" w:beforeAutospacing="0" w:after="0" w:afterAutospacing="0" w:line="360" w:lineRule="auto"/>
        <w:ind w:firstLine="495"/>
        <w:jc w:val="both"/>
        <w:rPr>
          <w:rFonts w:hint="eastAsia" w:ascii="Times New Roman" w:hAnsi="Times New Roman" w:cs="Times New Roman"/>
        </w:rPr>
      </w:pPr>
    </w:p>
    <w:p>
      <w:pPr>
        <w:pStyle w:val="25"/>
        <w:spacing w:before="0" w:beforeAutospacing="0" w:after="0" w:afterAutospacing="0" w:line="360" w:lineRule="auto"/>
        <w:ind w:firstLine="495"/>
        <w:jc w:val="both"/>
        <w:rPr>
          <w:rFonts w:hint="eastAsia" w:ascii="Times New Roman" w:hAnsi="Times New Roman" w:cs="Times New Roman"/>
        </w:rPr>
      </w:pPr>
    </w:p>
    <w:p>
      <w:pPr>
        <w:pStyle w:val="25"/>
        <w:spacing w:before="0" w:beforeAutospacing="0" w:after="0" w:afterAutospacing="0" w:line="360" w:lineRule="auto"/>
        <w:ind w:firstLine="495"/>
        <w:jc w:val="both"/>
        <w:rPr>
          <w:rFonts w:hint="eastAsia" w:ascii="Times New Roman" w:hAnsi="Times New Roman" w:cs="Times New Roman"/>
        </w:rPr>
      </w:pPr>
    </w:p>
    <w:p>
      <w:pPr>
        <w:pStyle w:val="25"/>
        <w:spacing w:before="0" w:beforeAutospacing="0" w:after="0" w:afterAutospacing="0" w:line="360" w:lineRule="auto"/>
        <w:ind w:firstLine="495"/>
        <w:jc w:val="both"/>
        <w:rPr>
          <w:rFonts w:hint="eastAsia" w:ascii="Times New Roman" w:hAnsi="Times New Roman" w:cs="Times New Roman"/>
        </w:rPr>
      </w:pPr>
    </w:p>
    <w:p>
      <w:pPr>
        <w:pStyle w:val="25"/>
        <w:spacing w:before="0" w:beforeAutospacing="0" w:after="0" w:afterAutospacing="0" w:line="360" w:lineRule="auto"/>
        <w:ind w:firstLine="495"/>
        <w:jc w:val="both"/>
        <w:rPr>
          <w:rFonts w:hint="eastAsia" w:ascii="Times New Roman" w:hAnsi="Times New Roman" w:cs="Times New Roman"/>
        </w:rPr>
      </w:pPr>
    </w:p>
    <w:p>
      <w:pPr>
        <w:pStyle w:val="25"/>
        <w:spacing w:before="0" w:beforeAutospacing="0" w:after="0" w:afterAutospacing="0" w:line="360" w:lineRule="auto"/>
        <w:ind w:firstLine="495"/>
        <w:jc w:val="both"/>
        <w:rPr>
          <w:rFonts w:hint="eastAsia" w:ascii="Times New Roman" w:hAnsi="Times New Roman" w:cs="Times New Roman"/>
        </w:rPr>
      </w:pPr>
    </w:p>
    <w:p>
      <w:pPr>
        <w:pStyle w:val="25"/>
        <w:spacing w:before="0" w:beforeAutospacing="0" w:after="0" w:afterAutospacing="0" w:line="360" w:lineRule="auto"/>
        <w:ind w:firstLine="495"/>
        <w:jc w:val="both"/>
        <w:rPr>
          <w:rFonts w:hint="eastAsia" w:ascii="Times New Roman" w:hAnsi="Times New Roman" w:cs="Times New Roman"/>
        </w:rPr>
      </w:pPr>
    </w:p>
    <w:p>
      <w:pPr>
        <w:pStyle w:val="25"/>
        <w:spacing w:before="0" w:beforeAutospacing="0" w:after="0" w:afterAutospacing="0" w:line="360" w:lineRule="auto"/>
        <w:ind w:firstLine="495"/>
        <w:jc w:val="both"/>
        <w:rPr>
          <w:rFonts w:hint="eastAsia" w:ascii="Times New Roman" w:hAnsi="Times New Roman" w:cs="Times New Roman"/>
        </w:rPr>
      </w:pPr>
    </w:p>
    <w:p>
      <w:pPr>
        <w:pStyle w:val="25"/>
        <w:spacing w:before="0" w:beforeAutospacing="0" w:after="0" w:afterAutospacing="0" w:line="360" w:lineRule="auto"/>
        <w:ind w:firstLine="495"/>
        <w:jc w:val="both"/>
        <w:rPr>
          <w:rFonts w:hint="eastAsia" w:ascii="Times New Roman" w:hAnsi="Times New Roman" w:cs="Times New Roman"/>
        </w:rPr>
      </w:pPr>
    </w:p>
    <w:p>
      <w:pPr>
        <w:pStyle w:val="25"/>
        <w:spacing w:before="0" w:beforeAutospacing="0" w:after="0" w:afterAutospacing="0" w:line="360" w:lineRule="auto"/>
        <w:ind w:firstLine="495"/>
        <w:jc w:val="both"/>
        <w:rPr>
          <w:rFonts w:hint="eastAsia" w:ascii="Times New Roman" w:hAnsi="Times New Roman" w:cs="Times New Roman"/>
        </w:rPr>
      </w:pPr>
    </w:p>
    <w:p>
      <w:pPr>
        <w:pStyle w:val="25"/>
        <w:spacing w:before="0" w:beforeAutospacing="0" w:after="0" w:afterAutospacing="0" w:line="360" w:lineRule="auto"/>
        <w:ind w:firstLine="495"/>
        <w:jc w:val="both"/>
        <w:rPr>
          <w:rFonts w:hint="eastAsia" w:ascii="Times New Roman" w:hAnsi="Times New Roman" w:cs="Times New Roman"/>
        </w:rPr>
      </w:pPr>
    </w:p>
    <w:p>
      <w:pPr>
        <w:pStyle w:val="25"/>
        <w:spacing w:before="0" w:beforeAutospacing="0" w:after="0" w:afterAutospacing="0" w:line="360" w:lineRule="auto"/>
        <w:ind w:firstLine="495"/>
        <w:jc w:val="both"/>
        <w:rPr>
          <w:rFonts w:hint="eastAsia" w:ascii="Times New Roman" w:hAnsi="Times New Roman" w:cs="Times New Roman"/>
        </w:rPr>
      </w:pPr>
    </w:p>
    <w:p>
      <w:pPr>
        <w:pStyle w:val="25"/>
        <w:spacing w:before="0" w:beforeAutospacing="0" w:after="0" w:afterAutospacing="0" w:line="360" w:lineRule="auto"/>
        <w:ind w:firstLine="495"/>
        <w:jc w:val="both"/>
        <w:rPr>
          <w:rFonts w:hint="eastAsia" w:ascii="Times New Roman" w:hAnsi="Times New Roman" w:cs="Times New Roman"/>
        </w:rPr>
      </w:pPr>
    </w:p>
    <w:p>
      <w:pPr>
        <w:pStyle w:val="25"/>
        <w:spacing w:before="0" w:beforeAutospacing="0" w:after="0" w:afterAutospacing="0" w:line="360" w:lineRule="auto"/>
        <w:ind w:firstLine="495"/>
        <w:jc w:val="both"/>
        <w:rPr>
          <w:rFonts w:hint="eastAsia" w:ascii="Times New Roman" w:hAnsi="Times New Roman" w:cs="Times New Roman"/>
        </w:rPr>
      </w:pPr>
    </w:p>
    <w:p>
      <w:pPr>
        <w:pStyle w:val="25"/>
        <w:spacing w:before="0" w:beforeAutospacing="0" w:after="0" w:afterAutospacing="0" w:line="360" w:lineRule="auto"/>
        <w:ind w:firstLine="495"/>
        <w:jc w:val="both"/>
        <w:rPr>
          <w:rFonts w:hint="eastAsia" w:ascii="Times New Roman" w:hAnsi="Times New Roman" w:cs="Times New Roman"/>
        </w:rPr>
      </w:pPr>
    </w:p>
    <w:p>
      <w:pPr>
        <w:pStyle w:val="25"/>
        <w:spacing w:before="0" w:beforeAutospacing="0" w:after="0" w:afterAutospacing="0" w:line="360" w:lineRule="auto"/>
        <w:ind w:firstLine="495"/>
        <w:jc w:val="both"/>
        <w:rPr>
          <w:rFonts w:hint="eastAsia" w:ascii="Times New Roman" w:hAnsi="Times New Roman" w:cs="Times New Roman"/>
        </w:rPr>
      </w:pPr>
    </w:p>
    <w:p>
      <w:pPr>
        <w:pStyle w:val="25"/>
        <w:spacing w:before="0" w:beforeAutospacing="0" w:after="0" w:afterAutospacing="0" w:line="360" w:lineRule="auto"/>
        <w:jc w:val="both"/>
        <w:rPr>
          <w:rFonts w:hint="eastAsia" w:ascii="Times New Roman" w:hAnsi="Times New Roman" w:cs="Times New Roman"/>
        </w:rPr>
      </w:pPr>
    </w:p>
    <w:p>
      <w:pPr>
        <w:ind w:left="476" w:leftChars="150" w:hanging="161" w:hangingChars="50"/>
        <w:jc w:val="center"/>
        <w:outlineLvl w:val="0"/>
        <w:rPr>
          <w:b/>
          <w:bCs/>
          <w:sz w:val="32"/>
          <w:szCs w:val="32"/>
        </w:rPr>
      </w:pPr>
      <w:r>
        <w:rPr>
          <w:b/>
          <w:sz w:val="32"/>
          <w:szCs w:val="32"/>
        </w:rPr>
        <w:t>3 基</w:t>
      </w:r>
      <w:r>
        <w:rPr>
          <w:rFonts w:hint="eastAsia"/>
          <w:b/>
          <w:sz w:val="32"/>
          <w:szCs w:val="32"/>
        </w:rPr>
        <w:t xml:space="preserve"> </w:t>
      </w:r>
      <w:r>
        <w:rPr>
          <w:b/>
          <w:sz w:val="32"/>
          <w:szCs w:val="32"/>
        </w:rPr>
        <w:t>本</w:t>
      </w:r>
      <w:r>
        <w:rPr>
          <w:rFonts w:hint="eastAsia"/>
          <w:b/>
          <w:sz w:val="32"/>
          <w:szCs w:val="32"/>
        </w:rPr>
        <w:t xml:space="preserve"> </w:t>
      </w:r>
      <w:r>
        <w:rPr>
          <w:b/>
          <w:sz w:val="32"/>
          <w:szCs w:val="32"/>
        </w:rPr>
        <w:t>规</w:t>
      </w:r>
      <w:r>
        <w:rPr>
          <w:rFonts w:hint="eastAsia"/>
          <w:b/>
          <w:sz w:val="32"/>
          <w:szCs w:val="32"/>
        </w:rPr>
        <w:t xml:space="preserve"> </w:t>
      </w:r>
      <w:r>
        <w:rPr>
          <w:b/>
          <w:sz w:val="32"/>
          <w:szCs w:val="32"/>
        </w:rPr>
        <w:t>定</w:t>
      </w:r>
      <w:bookmarkEnd w:id="41"/>
      <w:bookmarkEnd w:id="42"/>
      <w:bookmarkEnd w:id="43"/>
      <w:bookmarkEnd w:id="44"/>
      <w:bookmarkEnd w:id="45"/>
      <w:bookmarkEnd w:id="46"/>
      <w:bookmarkEnd w:id="47"/>
      <w:bookmarkEnd w:id="48"/>
    </w:p>
    <w:p>
      <w:pPr>
        <w:spacing w:line="360" w:lineRule="auto"/>
        <w:ind w:firstLine="422"/>
        <w:jc w:val="center"/>
        <w:rPr>
          <w:b/>
          <w:bCs/>
          <w:sz w:val="24"/>
          <w:szCs w:val="24"/>
        </w:rPr>
      </w:pPr>
      <w:bookmarkStart w:id="49" w:name="_Toc324770969"/>
      <w:bookmarkStart w:id="50" w:name="_Toc349912315"/>
      <w:bookmarkStart w:id="51" w:name="_Toc378354192"/>
      <w:bookmarkStart w:id="52" w:name="_Toc406395667"/>
      <w:bookmarkStart w:id="53" w:name="_Toc406396080"/>
      <w:bookmarkStart w:id="54" w:name="_Toc10660064"/>
      <w:bookmarkStart w:id="55" w:name="_Toc10660268"/>
    </w:p>
    <w:p>
      <w:pPr>
        <w:spacing w:line="360" w:lineRule="auto"/>
        <w:ind w:left="435" w:leftChars="150" w:hanging="120" w:hangingChars="50"/>
        <w:jc w:val="center"/>
        <w:outlineLvl w:val="1"/>
        <w:rPr>
          <w:rFonts w:eastAsia="黑体"/>
          <w:b/>
          <w:sz w:val="24"/>
          <w:szCs w:val="24"/>
        </w:rPr>
      </w:pPr>
      <w:bookmarkStart w:id="56" w:name="_Toc11854271"/>
      <w:bookmarkStart w:id="57" w:name="_Toc24542986"/>
      <w:r>
        <w:rPr>
          <w:rFonts w:eastAsia="黑体"/>
          <w:b/>
          <w:sz w:val="24"/>
          <w:szCs w:val="24"/>
        </w:rPr>
        <w:t>3.1  一般规定</w:t>
      </w:r>
      <w:bookmarkEnd w:id="49"/>
      <w:bookmarkEnd w:id="50"/>
      <w:bookmarkEnd w:id="51"/>
      <w:bookmarkEnd w:id="52"/>
      <w:bookmarkEnd w:id="53"/>
      <w:bookmarkEnd w:id="54"/>
      <w:bookmarkEnd w:id="55"/>
      <w:bookmarkEnd w:id="56"/>
      <w:bookmarkEnd w:id="57"/>
    </w:p>
    <w:p>
      <w:pPr>
        <w:spacing w:line="360" w:lineRule="auto"/>
        <w:rPr>
          <w:b/>
          <w:bCs/>
          <w:sz w:val="24"/>
          <w:szCs w:val="24"/>
        </w:rPr>
      </w:pPr>
    </w:p>
    <w:p>
      <w:pPr>
        <w:spacing w:line="360" w:lineRule="auto"/>
        <w:outlineLvl w:val="2"/>
        <w:rPr>
          <w:rFonts w:hint="eastAsia"/>
          <w:sz w:val="24"/>
          <w:szCs w:val="24"/>
        </w:rPr>
      </w:pPr>
      <w:bookmarkStart w:id="58" w:name="_Toc406395668"/>
      <w:bookmarkStart w:id="59" w:name="_Toc10660269"/>
      <w:r>
        <w:rPr>
          <w:b/>
          <w:sz w:val="24"/>
          <w:szCs w:val="24"/>
        </w:rPr>
        <w:t>3.1.1</w:t>
      </w:r>
      <w:bookmarkEnd w:id="58"/>
      <w:r>
        <w:rPr>
          <w:b/>
          <w:sz w:val="24"/>
          <w:szCs w:val="24"/>
        </w:rPr>
        <w:t xml:space="preserve"> </w:t>
      </w:r>
      <w:r>
        <w:rPr>
          <w:rFonts w:hint="eastAsia"/>
          <w:b/>
          <w:sz w:val="24"/>
          <w:szCs w:val="24"/>
        </w:rPr>
        <w:t xml:space="preserve"> </w:t>
      </w:r>
      <w:r>
        <w:rPr>
          <w:sz w:val="24"/>
          <w:szCs w:val="24"/>
        </w:rPr>
        <w:t>绿色建筑评价应以单栋建筑或建筑群为评价对象。评价对象应落实并深化上位法定规划及相关专项规划提出的绿色发展要求；涉及系统性、整体性的指标，应基于建筑所属工程项目的总体进行评价。</w:t>
      </w:r>
      <w:bookmarkEnd w:id="59"/>
    </w:p>
    <w:p>
      <w:pPr>
        <w:spacing w:line="360" w:lineRule="auto"/>
        <w:outlineLvl w:val="2"/>
        <w:rPr>
          <w:rFonts w:hint="eastAsia"/>
          <w:sz w:val="24"/>
          <w:szCs w:val="24"/>
        </w:rPr>
      </w:pPr>
      <w:bookmarkStart w:id="60" w:name="_Toc406395669"/>
      <w:bookmarkStart w:id="61" w:name="_Toc10660270"/>
      <w:r>
        <w:rPr>
          <w:b/>
          <w:sz w:val="24"/>
          <w:szCs w:val="24"/>
        </w:rPr>
        <w:t>3.1.2</w:t>
      </w:r>
      <w:bookmarkEnd w:id="60"/>
      <w:r>
        <w:rPr>
          <w:b/>
          <w:sz w:val="24"/>
          <w:szCs w:val="24"/>
        </w:rPr>
        <w:t xml:space="preserve"> </w:t>
      </w:r>
      <w:r>
        <w:rPr>
          <w:rFonts w:hint="eastAsia"/>
          <w:b/>
          <w:sz w:val="24"/>
          <w:szCs w:val="24"/>
        </w:rPr>
        <w:t xml:space="preserve"> </w:t>
      </w:r>
      <w:r>
        <w:rPr>
          <w:sz w:val="24"/>
          <w:szCs w:val="24"/>
        </w:rPr>
        <w:t>绿色建筑评价应在建筑工程竣工后进行。在建筑工程施工图设计完成后，可进行预评价。</w:t>
      </w:r>
      <w:bookmarkEnd w:id="61"/>
    </w:p>
    <w:p>
      <w:pPr>
        <w:spacing w:line="360" w:lineRule="auto"/>
        <w:outlineLvl w:val="2"/>
        <w:rPr>
          <w:rFonts w:hint="eastAsia"/>
          <w:sz w:val="24"/>
          <w:szCs w:val="24"/>
        </w:rPr>
      </w:pPr>
      <w:bookmarkStart w:id="62" w:name="_Toc406395670"/>
      <w:bookmarkStart w:id="63" w:name="_Toc10660271"/>
      <w:r>
        <w:rPr>
          <w:b/>
          <w:sz w:val="24"/>
          <w:szCs w:val="24"/>
        </w:rPr>
        <w:t>3.1.3</w:t>
      </w:r>
      <w:bookmarkEnd w:id="62"/>
      <w:r>
        <w:rPr>
          <w:b/>
          <w:sz w:val="24"/>
          <w:szCs w:val="24"/>
        </w:rPr>
        <w:t xml:space="preserve"> </w:t>
      </w:r>
      <w:r>
        <w:rPr>
          <w:rFonts w:hint="eastAsia"/>
          <w:b/>
          <w:sz w:val="24"/>
          <w:szCs w:val="24"/>
        </w:rPr>
        <w:t xml:space="preserve"> </w:t>
      </w:r>
      <w:r>
        <w:rPr>
          <w:sz w:val="24"/>
          <w:szCs w:val="24"/>
        </w:rPr>
        <w:t>申请评价方应对参评建筑进行全寿命期技术和经济分析，选用适宜技术、设备和材料，对规划、设计、施工、运行阶段进行全过程控制，并应在评价时提交相应分析、测试报告和相关文件。申请评价方应对所提交资料的真实性和完整性负责。</w:t>
      </w:r>
      <w:bookmarkEnd w:id="63"/>
      <w:bookmarkStart w:id="64" w:name="_Toc406395671"/>
    </w:p>
    <w:p>
      <w:pPr>
        <w:spacing w:line="360" w:lineRule="auto"/>
        <w:outlineLvl w:val="2"/>
        <w:rPr>
          <w:sz w:val="24"/>
          <w:szCs w:val="24"/>
        </w:rPr>
      </w:pPr>
      <w:bookmarkStart w:id="65" w:name="_Toc10660272"/>
      <w:r>
        <w:rPr>
          <w:sz w:val="24"/>
          <w:szCs w:val="24"/>
        </w:rPr>
        <w:t>3.1.4</w:t>
      </w:r>
      <w:bookmarkEnd w:id="64"/>
      <w:r>
        <w:rPr>
          <w:sz w:val="24"/>
          <w:szCs w:val="24"/>
        </w:rPr>
        <w:t xml:space="preserve">  评价机构应对申请评价方提交的分析、测试报告和相关文件进行审查，出具评价报告，确定等级</w:t>
      </w:r>
      <w:bookmarkEnd w:id="65"/>
      <w:r>
        <w:rPr>
          <w:rFonts w:hint="eastAsia"/>
          <w:sz w:val="24"/>
          <w:szCs w:val="24"/>
        </w:rPr>
        <w:t>。</w:t>
      </w:r>
      <w:bookmarkStart w:id="66" w:name="_Toc324770970"/>
    </w:p>
    <w:p>
      <w:pPr>
        <w:spacing w:line="360" w:lineRule="auto"/>
        <w:outlineLvl w:val="2"/>
        <w:rPr>
          <w:rFonts w:hint="eastAsia"/>
          <w:sz w:val="24"/>
          <w:szCs w:val="24"/>
        </w:rPr>
      </w:pPr>
      <w:bookmarkStart w:id="67" w:name="_Toc10660273"/>
      <w:r>
        <w:rPr>
          <w:b/>
          <w:sz w:val="24"/>
          <w:szCs w:val="24"/>
        </w:rPr>
        <w:t>3.1.5</w:t>
      </w:r>
      <w:r>
        <w:rPr>
          <w:rFonts w:hint="eastAsia"/>
          <w:b/>
          <w:sz w:val="24"/>
          <w:szCs w:val="24"/>
        </w:rPr>
        <w:t xml:space="preserve"> </w:t>
      </w:r>
      <w:r>
        <w:rPr>
          <w:rFonts w:hint="eastAsia"/>
          <w:sz w:val="24"/>
        </w:rPr>
        <w:t xml:space="preserve"> </w:t>
      </w:r>
      <w:r>
        <w:rPr>
          <w:kern w:val="0"/>
          <w:sz w:val="24"/>
          <w:szCs w:val="24"/>
        </w:rPr>
        <w:t>申请绿色金融服务的建筑项目，应对节能措施、节水措施、建筑能耗和碳排放等进行计算和说明，并应形成专项报告</w:t>
      </w:r>
      <w:bookmarkEnd w:id="67"/>
      <w:bookmarkStart w:id="68" w:name="_Toc349912316"/>
      <w:bookmarkStart w:id="69" w:name="_Toc378354193"/>
      <w:bookmarkStart w:id="70" w:name="_Toc406395672"/>
      <w:bookmarkStart w:id="71" w:name="_Toc406396081"/>
      <w:bookmarkStart w:id="72" w:name="_Toc10660065"/>
      <w:bookmarkStart w:id="73" w:name="_Toc10660274"/>
      <w:r>
        <w:rPr>
          <w:rFonts w:hint="eastAsia"/>
          <w:kern w:val="0"/>
          <w:sz w:val="24"/>
          <w:szCs w:val="24"/>
        </w:rPr>
        <w:t>。</w:t>
      </w:r>
    </w:p>
    <w:p>
      <w:pPr>
        <w:rPr>
          <w:rFonts w:hint="eastAsia"/>
          <w:bCs/>
          <w:sz w:val="24"/>
          <w:szCs w:val="24"/>
        </w:rPr>
      </w:pPr>
    </w:p>
    <w:p>
      <w:pPr>
        <w:spacing w:line="360" w:lineRule="auto"/>
        <w:ind w:left="435" w:leftChars="150" w:hanging="120" w:hangingChars="50"/>
        <w:jc w:val="center"/>
        <w:outlineLvl w:val="1"/>
        <w:rPr>
          <w:rFonts w:eastAsia="黑体"/>
          <w:b/>
          <w:sz w:val="24"/>
          <w:szCs w:val="24"/>
        </w:rPr>
      </w:pPr>
      <w:bookmarkStart w:id="74" w:name="_Toc11854272"/>
      <w:bookmarkStart w:id="75" w:name="_Toc24542987"/>
      <w:r>
        <w:rPr>
          <w:rFonts w:eastAsia="黑体"/>
          <w:b/>
          <w:sz w:val="24"/>
          <w:szCs w:val="24"/>
        </w:rPr>
        <w:t>3.2  评价与等级划分</w:t>
      </w:r>
      <w:bookmarkEnd w:id="66"/>
      <w:bookmarkEnd w:id="68"/>
      <w:bookmarkEnd w:id="69"/>
      <w:bookmarkEnd w:id="70"/>
      <w:bookmarkEnd w:id="71"/>
      <w:bookmarkEnd w:id="72"/>
      <w:bookmarkEnd w:id="73"/>
      <w:bookmarkEnd w:id="74"/>
      <w:bookmarkEnd w:id="75"/>
    </w:p>
    <w:p>
      <w:pPr>
        <w:widowControl/>
        <w:spacing w:line="360" w:lineRule="auto"/>
        <w:ind w:firstLine="482" w:firstLineChars="200"/>
        <w:rPr>
          <w:b/>
          <w:bCs/>
          <w:sz w:val="24"/>
          <w:szCs w:val="24"/>
        </w:rPr>
      </w:pPr>
    </w:p>
    <w:p>
      <w:pPr>
        <w:pStyle w:val="26"/>
        <w:spacing w:line="360" w:lineRule="auto"/>
        <w:ind w:firstLine="0" w:firstLineChars="0"/>
        <w:outlineLvl w:val="3"/>
        <w:rPr>
          <w:rFonts w:hint="eastAsia"/>
          <w:szCs w:val="24"/>
        </w:rPr>
      </w:pPr>
      <w:bookmarkStart w:id="76" w:name="_Toc406395673"/>
      <w:bookmarkStart w:id="77" w:name="_Toc10660275"/>
      <w:r>
        <w:rPr>
          <w:b/>
          <w:bCs/>
          <w:szCs w:val="24"/>
        </w:rPr>
        <w:t>3.2.1</w:t>
      </w:r>
      <w:bookmarkEnd w:id="76"/>
      <w:r>
        <w:rPr>
          <w:rFonts w:hint="eastAsia"/>
          <w:b/>
          <w:bCs/>
          <w:szCs w:val="24"/>
        </w:rPr>
        <w:t xml:space="preserve">  </w:t>
      </w:r>
      <w:r>
        <w:rPr>
          <w:szCs w:val="24"/>
        </w:rPr>
        <w:t>绿色建筑评价指标体系应由安全耐久、健康舒适、生活便利、资源节约、环境宜居5类指标组成，且每类指标均包括控制项和评分项；评价指标体系还统一设置加分项。</w:t>
      </w:r>
      <w:bookmarkEnd w:id="77"/>
    </w:p>
    <w:p>
      <w:pPr>
        <w:pStyle w:val="26"/>
        <w:spacing w:line="360" w:lineRule="auto"/>
        <w:ind w:firstLine="0" w:firstLineChars="0"/>
        <w:outlineLvl w:val="3"/>
        <w:rPr>
          <w:rFonts w:hint="eastAsia"/>
          <w:szCs w:val="24"/>
        </w:rPr>
      </w:pPr>
      <w:bookmarkStart w:id="78" w:name="_Toc406395674"/>
      <w:bookmarkStart w:id="79" w:name="_Toc10660276"/>
      <w:r>
        <w:rPr>
          <w:b/>
          <w:bCs/>
          <w:szCs w:val="24"/>
        </w:rPr>
        <w:t>3.2.2</w:t>
      </w:r>
      <w:bookmarkEnd w:id="78"/>
      <w:r>
        <w:rPr>
          <w:rFonts w:hint="eastAsia"/>
          <w:b/>
          <w:bCs/>
          <w:szCs w:val="24"/>
        </w:rPr>
        <w:t xml:space="preserve">  </w:t>
      </w:r>
      <w:r>
        <w:rPr>
          <w:szCs w:val="24"/>
        </w:rPr>
        <w:t>控制项的评定结果应为达标或不达标；评分项和加分项的评定结果应为分值。</w:t>
      </w:r>
      <w:bookmarkEnd w:id="79"/>
    </w:p>
    <w:p>
      <w:pPr>
        <w:pStyle w:val="26"/>
        <w:spacing w:line="360" w:lineRule="auto"/>
        <w:ind w:firstLine="0" w:firstLineChars="0"/>
        <w:outlineLvl w:val="3"/>
        <w:rPr>
          <w:rFonts w:hint="eastAsia"/>
          <w:szCs w:val="24"/>
        </w:rPr>
      </w:pPr>
      <w:bookmarkStart w:id="80" w:name="_Toc406395675"/>
      <w:bookmarkStart w:id="81" w:name="_Toc10660277"/>
      <w:r>
        <w:rPr>
          <w:b/>
          <w:bCs/>
          <w:szCs w:val="24"/>
        </w:rPr>
        <w:t>3.2.3</w:t>
      </w:r>
      <w:bookmarkEnd w:id="80"/>
      <w:r>
        <w:rPr>
          <w:rFonts w:hint="eastAsia"/>
          <w:b/>
          <w:bCs/>
          <w:szCs w:val="24"/>
        </w:rPr>
        <w:t xml:space="preserve">  </w:t>
      </w:r>
      <w:r>
        <w:rPr>
          <w:szCs w:val="24"/>
        </w:rPr>
        <w:t>对于多功能的综合性单体建筑，应按本标准全部评价条文逐条对适用的区域进行评价，确定各评价条文的得分。</w:t>
      </w:r>
      <w:bookmarkEnd w:id="81"/>
    </w:p>
    <w:p>
      <w:pPr>
        <w:pStyle w:val="26"/>
        <w:adjustRightInd/>
        <w:spacing w:line="360" w:lineRule="auto"/>
        <w:ind w:firstLine="0" w:firstLineChars="0"/>
        <w:outlineLvl w:val="3"/>
        <w:rPr>
          <w:rFonts w:hint="eastAsia"/>
          <w:szCs w:val="24"/>
        </w:rPr>
      </w:pPr>
      <w:bookmarkStart w:id="82" w:name="_Toc406395676"/>
      <w:bookmarkStart w:id="83" w:name="_Toc10660278"/>
      <w:r>
        <w:rPr>
          <w:b/>
          <w:bCs/>
          <w:szCs w:val="24"/>
        </w:rPr>
        <w:t>3.2.4</w:t>
      </w:r>
      <w:bookmarkEnd w:id="82"/>
      <w:r>
        <w:rPr>
          <w:rFonts w:hint="eastAsia"/>
          <w:b/>
          <w:bCs/>
          <w:szCs w:val="24"/>
        </w:rPr>
        <w:t xml:space="preserve">  </w:t>
      </w:r>
      <w:r>
        <w:rPr>
          <w:szCs w:val="24"/>
        </w:rPr>
        <w:t>绿色建筑评价的分值设定应符合表3.2.4的规定。</w:t>
      </w:r>
      <w:bookmarkEnd w:id="83"/>
    </w:p>
    <w:p>
      <w:pPr>
        <w:widowControl/>
        <w:jc w:val="center"/>
        <w:rPr>
          <w:rFonts w:eastAsia="黑体"/>
          <w:b/>
          <w:bCs/>
          <w:sz w:val="22"/>
        </w:rPr>
      </w:pPr>
      <w:r>
        <w:rPr>
          <w:rFonts w:eastAsia="黑体"/>
          <w:b/>
          <w:bCs/>
          <w:sz w:val="22"/>
        </w:rPr>
        <w:t>表3.2.4 绿色建筑评价分值</w:t>
      </w:r>
    </w:p>
    <w:tbl>
      <w:tblPr>
        <w:tblStyle w:val="1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54"/>
        <w:gridCol w:w="1538"/>
        <w:gridCol w:w="911"/>
        <w:gridCol w:w="911"/>
        <w:gridCol w:w="911"/>
        <w:gridCol w:w="911"/>
        <w:gridCol w:w="911"/>
        <w:gridCol w:w="18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cantSplit/>
          <w:trHeight w:val="28" w:hRule="atLeast"/>
          <w:jc w:val="center"/>
        </w:trPr>
        <w:tc>
          <w:tcPr>
            <w:tcW w:w="946" w:type="pct"/>
            <w:vMerge w:val="restart"/>
            <w:tcBorders>
              <w:top w:val="single" w:color="auto" w:sz="4" w:space="0"/>
              <w:left w:val="single" w:color="auto" w:sz="4" w:space="0"/>
              <w:right w:val="single" w:color="auto" w:sz="4" w:space="0"/>
            </w:tcBorders>
            <w:noWrap w:val="0"/>
            <w:vAlign w:val="center"/>
          </w:tcPr>
          <w:p>
            <w:pPr>
              <w:jc w:val="center"/>
              <w:rPr>
                <w:szCs w:val="21"/>
              </w:rPr>
            </w:pPr>
          </w:p>
        </w:tc>
        <w:tc>
          <w:tcPr>
            <w:tcW w:w="785" w:type="pct"/>
            <w:vMerge w:val="restart"/>
            <w:tcBorders>
              <w:top w:val="single" w:color="auto" w:sz="4" w:space="0"/>
              <w:left w:val="single" w:color="auto" w:sz="4" w:space="0"/>
              <w:right w:val="single" w:color="auto" w:sz="4" w:space="0"/>
            </w:tcBorders>
            <w:noWrap w:val="0"/>
            <w:vAlign w:val="center"/>
          </w:tcPr>
          <w:p>
            <w:pPr>
              <w:jc w:val="center"/>
              <w:rPr>
                <w:szCs w:val="21"/>
              </w:rPr>
            </w:pPr>
            <w:r>
              <w:rPr>
                <w:szCs w:val="21"/>
              </w:rPr>
              <w:t>控制项</w:t>
            </w:r>
          </w:p>
          <w:p>
            <w:pPr>
              <w:jc w:val="center"/>
              <w:rPr>
                <w:szCs w:val="21"/>
              </w:rPr>
            </w:pPr>
            <w:r>
              <w:rPr>
                <w:szCs w:val="21"/>
              </w:rPr>
              <w:t>基础分值</w:t>
            </w:r>
          </w:p>
        </w:tc>
        <w:tc>
          <w:tcPr>
            <w:tcW w:w="2324" w:type="pct"/>
            <w:gridSpan w:val="5"/>
            <w:tcBorders>
              <w:top w:val="single" w:color="auto" w:sz="4" w:space="0"/>
              <w:left w:val="single" w:color="auto" w:sz="4" w:space="0"/>
              <w:bottom w:val="single" w:color="auto" w:sz="4" w:space="0"/>
              <w:right w:val="single" w:color="auto" w:sz="4" w:space="0"/>
            </w:tcBorders>
            <w:noWrap w:val="0"/>
            <w:vAlign w:val="center"/>
          </w:tcPr>
          <w:p>
            <w:pPr>
              <w:jc w:val="center"/>
              <w:rPr>
                <w:szCs w:val="21"/>
              </w:rPr>
            </w:pPr>
            <w:r>
              <w:rPr>
                <w:szCs w:val="21"/>
              </w:rPr>
              <w:t>评价指标</w:t>
            </w:r>
            <w:bookmarkStart w:id="84" w:name="_Hlk531665978"/>
            <w:r>
              <w:rPr>
                <w:szCs w:val="21"/>
              </w:rPr>
              <w:t>评分项满分值</w:t>
            </w:r>
            <w:bookmarkEnd w:id="84"/>
          </w:p>
        </w:tc>
        <w:tc>
          <w:tcPr>
            <w:tcW w:w="946" w:type="pct"/>
            <w:vMerge w:val="restart"/>
            <w:tcBorders>
              <w:top w:val="single" w:color="auto" w:sz="4" w:space="0"/>
              <w:left w:val="single" w:color="auto" w:sz="4" w:space="0"/>
              <w:right w:val="single" w:color="auto" w:sz="4" w:space="0"/>
            </w:tcBorders>
            <w:noWrap w:val="0"/>
            <w:vAlign w:val="center"/>
          </w:tcPr>
          <w:p>
            <w:pPr>
              <w:jc w:val="center"/>
              <w:rPr>
                <w:szCs w:val="21"/>
              </w:rPr>
            </w:pPr>
            <w:r>
              <w:rPr>
                <w:szCs w:val="21"/>
              </w:rPr>
              <w:t>提高与创新</w:t>
            </w:r>
          </w:p>
          <w:p>
            <w:pPr>
              <w:jc w:val="center"/>
              <w:rPr>
                <w:szCs w:val="21"/>
              </w:rPr>
            </w:pPr>
            <w:r>
              <w:rPr>
                <w:szCs w:val="21"/>
              </w:rPr>
              <w:t>加分项</w:t>
            </w:r>
          </w:p>
          <w:p>
            <w:pPr>
              <w:jc w:val="center"/>
              <w:rPr>
                <w:szCs w:val="21"/>
              </w:rPr>
            </w:pPr>
            <w:r>
              <w:rPr>
                <w:szCs w:val="21"/>
              </w:rPr>
              <w:t>满分值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cantSplit/>
          <w:trHeight w:val="764" w:hRule="atLeast"/>
          <w:jc w:val="center"/>
        </w:trPr>
        <w:tc>
          <w:tcPr>
            <w:tcW w:w="946" w:type="pct"/>
            <w:vMerge w:val="continue"/>
            <w:tcBorders>
              <w:left w:val="single" w:color="auto" w:sz="4" w:space="0"/>
              <w:bottom w:val="single" w:color="auto" w:sz="4" w:space="0"/>
              <w:right w:val="single" w:color="auto" w:sz="4" w:space="0"/>
            </w:tcBorders>
            <w:noWrap w:val="0"/>
            <w:vAlign w:val="center"/>
          </w:tcPr>
          <w:p>
            <w:pPr>
              <w:jc w:val="center"/>
              <w:rPr>
                <w:szCs w:val="21"/>
              </w:rPr>
            </w:pPr>
          </w:p>
        </w:tc>
        <w:tc>
          <w:tcPr>
            <w:tcW w:w="785" w:type="pct"/>
            <w:vMerge w:val="continue"/>
            <w:tcBorders>
              <w:left w:val="single" w:color="auto" w:sz="4" w:space="0"/>
              <w:bottom w:val="single" w:color="auto" w:sz="4" w:space="0"/>
              <w:right w:val="single" w:color="auto" w:sz="4" w:space="0"/>
            </w:tcBorders>
            <w:noWrap w:val="0"/>
            <w:vAlign w:val="center"/>
          </w:tcPr>
          <w:p>
            <w:pPr>
              <w:jc w:val="center"/>
              <w:rPr>
                <w:szCs w:val="21"/>
              </w:rPr>
            </w:pPr>
          </w:p>
        </w:tc>
        <w:tc>
          <w:tcPr>
            <w:tcW w:w="465" w:type="pct"/>
            <w:tcBorders>
              <w:top w:val="single" w:color="auto" w:sz="4" w:space="0"/>
              <w:left w:val="single" w:color="auto" w:sz="4" w:space="0"/>
              <w:bottom w:val="single" w:color="auto" w:sz="4" w:space="0"/>
              <w:right w:val="single" w:color="auto" w:sz="4" w:space="0"/>
            </w:tcBorders>
            <w:noWrap w:val="0"/>
            <w:vAlign w:val="center"/>
          </w:tcPr>
          <w:p>
            <w:pPr>
              <w:jc w:val="center"/>
              <w:rPr>
                <w:szCs w:val="21"/>
              </w:rPr>
            </w:pPr>
            <w:r>
              <w:rPr>
                <w:szCs w:val="21"/>
              </w:rPr>
              <w:t>安全</w:t>
            </w:r>
          </w:p>
          <w:p>
            <w:pPr>
              <w:jc w:val="center"/>
              <w:rPr>
                <w:szCs w:val="21"/>
              </w:rPr>
            </w:pPr>
            <w:r>
              <w:rPr>
                <w:szCs w:val="21"/>
              </w:rPr>
              <w:t>耐久</w:t>
            </w:r>
          </w:p>
        </w:tc>
        <w:tc>
          <w:tcPr>
            <w:tcW w:w="465" w:type="pct"/>
            <w:tcBorders>
              <w:top w:val="single" w:color="auto" w:sz="4" w:space="0"/>
              <w:left w:val="single" w:color="auto" w:sz="4" w:space="0"/>
              <w:bottom w:val="single" w:color="auto" w:sz="4" w:space="0"/>
              <w:right w:val="single" w:color="auto" w:sz="4" w:space="0"/>
            </w:tcBorders>
            <w:noWrap w:val="0"/>
            <w:vAlign w:val="center"/>
          </w:tcPr>
          <w:p>
            <w:pPr>
              <w:jc w:val="center"/>
              <w:rPr>
                <w:szCs w:val="21"/>
              </w:rPr>
            </w:pPr>
            <w:r>
              <w:rPr>
                <w:szCs w:val="21"/>
              </w:rPr>
              <w:t>健康</w:t>
            </w:r>
          </w:p>
          <w:p>
            <w:pPr>
              <w:jc w:val="center"/>
              <w:rPr>
                <w:szCs w:val="21"/>
              </w:rPr>
            </w:pPr>
            <w:r>
              <w:rPr>
                <w:szCs w:val="21"/>
              </w:rPr>
              <w:t>舒适</w:t>
            </w:r>
          </w:p>
        </w:tc>
        <w:tc>
          <w:tcPr>
            <w:tcW w:w="465" w:type="pct"/>
            <w:tcBorders>
              <w:top w:val="single" w:color="auto" w:sz="4" w:space="0"/>
              <w:left w:val="single" w:color="auto" w:sz="4" w:space="0"/>
              <w:bottom w:val="single" w:color="auto" w:sz="4" w:space="0"/>
              <w:right w:val="single" w:color="auto" w:sz="4" w:space="0"/>
            </w:tcBorders>
            <w:noWrap w:val="0"/>
            <w:vAlign w:val="center"/>
          </w:tcPr>
          <w:p>
            <w:pPr>
              <w:jc w:val="center"/>
              <w:rPr>
                <w:szCs w:val="21"/>
              </w:rPr>
            </w:pPr>
            <w:r>
              <w:rPr>
                <w:szCs w:val="21"/>
              </w:rPr>
              <w:t>生活</w:t>
            </w:r>
          </w:p>
          <w:p>
            <w:pPr>
              <w:jc w:val="center"/>
              <w:rPr>
                <w:szCs w:val="21"/>
              </w:rPr>
            </w:pPr>
            <w:r>
              <w:rPr>
                <w:szCs w:val="21"/>
              </w:rPr>
              <w:t>便利</w:t>
            </w:r>
          </w:p>
        </w:tc>
        <w:tc>
          <w:tcPr>
            <w:tcW w:w="465" w:type="pct"/>
            <w:tcBorders>
              <w:top w:val="single" w:color="auto" w:sz="4" w:space="0"/>
              <w:left w:val="single" w:color="auto" w:sz="4" w:space="0"/>
              <w:bottom w:val="single" w:color="auto" w:sz="4" w:space="0"/>
              <w:right w:val="single" w:color="auto" w:sz="4" w:space="0"/>
            </w:tcBorders>
            <w:noWrap w:val="0"/>
            <w:vAlign w:val="center"/>
          </w:tcPr>
          <w:p>
            <w:pPr>
              <w:jc w:val="center"/>
              <w:rPr>
                <w:szCs w:val="21"/>
              </w:rPr>
            </w:pPr>
            <w:r>
              <w:rPr>
                <w:szCs w:val="21"/>
              </w:rPr>
              <w:t>资源</w:t>
            </w:r>
          </w:p>
          <w:p>
            <w:pPr>
              <w:jc w:val="center"/>
              <w:rPr>
                <w:szCs w:val="21"/>
              </w:rPr>
            </w:pPr>
            <w:r>
              <w:rPr>
                <w:szCs w:val="21"/>
              </w:rPr>
              <w:t>节约</w:t>
            </w:r>
          </w:p>
        </w:tc>
        <w:tc>
          <w:tcPr>
            <w:tcW w:w="465" w:type="pct"/>
            <w:tcBorders>
              <w:top w:val="single" w:color="auto" w:sz="4" w:space="0"/>
              <w:left w:val="single" w:color="auto" w:sz="4" w:space="0"/>
              <w:bottom w:val="single" w:color="auto" w:sz="4" w:space="0"/>
              <w:right w:val="single" w:color="auto" w:sz="4" w:space="0"/>
            </w:tcBorders>
            <w:noWrap w:val="0"/>
            <w:vAlign w:val="center"/>
          </w:tcPr>
          <w:p>
            <w:pPr>
              <w:jc w:val="center"/>
              <w:rPr>
                <w:szCs w:val="21"/>
              </w:rPr>
            </w:pPr>
            <w:r>
              <w:rPr>
                <w:szCs w:val="21"/>
              </w:rPr>
              <w:t>环境</w:t>
            </w:r>
          </w:p>
          <w:p>
            <w:pPr>
              <w:jc w:val="center"/>
              <w:rPr>
                <w:szCs w:val="21"/>
              </w:rPr>
            </w:pPr>
            <w:r>
              <w:rPr>
                <w:szCs w:val="21"/>
              </w:rPr>
              <w:t>宜居</w:t>
            </w:r>
          </w:p>
        </w:tc>
        <w:tc>
          <w:tcPr>
            <w:tcW w:w="946" w:type="pct"/>
            <w:vMerge w:val="continue"/>
            <w:tcBorders>
              <w:left w:val="single" w:color="auto" w:sz="4" w:space="0"/>
              <w:bottom w:val="single" w:color="auto" w:sz="4" w:space="0"/>
              <w:right w:val="single" w:color="auto" w:sz="4" w:space="0"/>
            </w:tcBorders>
            <w:noWrap w:val="0"/>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cantSplit/>
          <w:trHeight w:val="351" w:hRule="atLeast"/>
          <w:jc w:val="center"/>
        </w:trPr>
        <w:tc>
          <w:tcPr>
            <w:tcW w:w="946" w:type="pct"/>
            <w:tcBorders>
              <w:top w:val="single" w:color="auto" w:sz="4" w:space="0"/>
              <w:left w:val="single" w:color="auto" w:sz="4" w:space="0"/>
              <w:bottom w:val="single" w:color="auto" w:sz="4" w:space="0"/>
              <w:right w:val="single" w:color="auto" w:sz="4" w:space="0"/>
            </w:tcBorders>
            <w:noWrap w:val="0"/>
            <w:vAlign w:val="center"/>
          </w:tcPr>
          <w:p>
            <w:pPr>
              <w:jc w:val="center"/>
              <w:rPr>
                <w:szCs w:val="21"/>
              </w:rPr>
            </w:pPr>
            <w:r>
              <w:rPr>
                <w:szCs w:val="21"/>
              </w:rPr>
              <w:t>预评价分值</w:t>
            </w:r>
          </w:p>
        </w:tc>
        <w:tc>
          <w:tcPr>
            <w:tcW w:w="785" w:type="pct"/>
            <w:tcBorders>
              <w:top w:val="single" w:color="auto" w:sz="4" w:space="0"/>
              <w:left w:val="single" w:color="auto" w:sz="4" w:space="0"/>
              <w:bottom w:val="single" w:color="auto" w:sz="4" w:space="0"/>
              <w:right w:val="single" w:color="auto" w:sz="4" w:space="0"/>
            </w:tcBorders>
            <w:noWrap w:val="0"/>
            <w:vAlign w:val="center"/>
          </w:tcPr>
          <w:p>
            <w:pPr>
              <w:jc w:val="center"/>
              <w:rPr>
                <w:szCs w:val="21"/>
              </w:rPr>
            </w:pPr>
            <w:r>
              <w:rPr>
                <w:szCs w:val="21"/>
              </w:rPr>
              <w:t>400</w:t>
            </w:r>
          </w:p>
        </w:tc>
        <w:tc>
          <w:tcPr>
            <w:tcW w:w="465" w:type="pct"/>
            <w:tcBorders>
              <w:top w:val="single" w:color="auto" w:sz="4" w:space="0"/>
              <w:left w:val="single" w:color="auto" w:sz="4" w:space="0"/>
              <w:bottom w:val="single" w:color="auto" w:sz="4" w:space="0"/>
              <w:right w:val="single" w:color="auto" w:sz="4" w:space="0"/>
            </w:tcBorders>
            <w:noWrap w:val="0"/>
            <w:vAlign w:val="center"/>
          </w:tcPr>
          <w:p>
            <w:pPr>
              <w:jc w:val="center"/>
              <w:rPr>
                <w:szCs w:val="21"/>
              </w:rPr>
            </w:pPr>
            <w:r>
              <w:rPr>
                <w:szCs w:val="21"/>
              </w:rPr>
              <w:t>100</w:t>
            </w:r>
          </w:p>
        </w:tc>
        <w:tc>
          <w:tcPr>
            <w:tcW w:w="465" w:type="pct"/>
            <w:tcBorders>
              <w:top w:val="single" w:color="auto" w:sz="4" w:space="0"/>
              <w:left w:val="single" w:color="auto" w:sz="4" w:space="0"/>
              <w:bottom w:val="single" w:color="auto" w:sz="4" w:space="0"/>
              <w:right w:val="single" w:color="auto" w:sz="4" w:space="0"/>
            </w:tcBorders>
            <w:noWrap w:val="0"/>
            <w:vAlign w:val="center"/>
          </w:tcPr>
          <w:p>
            <w:pPr>
              <w:jc w:val="center"/>
              <w:rPr>
                <w:szCs w:val="21"/>
              </w:rPr>
            </w:pPr>
            <w:r>
              <w:rPr>
                <w:szCs w:val="21"/>
              </w:rPr>
              <w:t>100</w:t>
            </w:r>
          </w:p>
        </w:tc>
        <w:tc>
          <w:tcPr>
            <w:tcW w:w="465" w:type="pct"/>
            <w:tcBorders>
              <w:top w:val="single" w:color="auto" w:sz="4" w:space="0"/>
              <w:left w:val="single" w:color="auto" w:sz="4" w:space="0"/>
              <w:bottom w:val="single" w:color="auto" w:sz="4" w:space="0"/>
              <w:right w:val="single" w:color="auto" w:sz="4" w:space="0"/>
            </w:tcBorders>
            <w:noWrap w:val="0"/>
            <w:vAlign w:val="center"/>
          </w:tcPr>
          <w:p>
            <w:pPr>
              <w:jc w:val="center"/>
              <w:rPr>
                <w:szCs w:val="21"/>
              </w:rPr>
            </w:pPr>
            <w:r>
              <w:rPr>
                <w:szCs w:val="21"/>
              </w:rPr>
              <w:t>70</w:t>
            </w:r>
          </w:p>
        </w:tc>
        <w:tc>
          <w:tcPr>
            <w:tcW w:w="465" w:type="pct"/>
            <w:tcBorders>
              <w:top w:val="single" w:color="auto" w:sz="4" w:space="0"/>
              <w:left w:val="single" w:color="auto" w:sz="4" w:space="0"/>
              <w:bottom w:val="single" w:color="auto" w:sz="4" w:space="0"/>
              <w:right w:val="single" w:color="auto" w:sz="4" w:space="0"/>
            </w:tcBorders>
            <w:noWrap w:val="0"/>
            <w:vAlign w:val="center"/>
          </w:tcPr>
          <w:p>
            <w:pPr>
              <w:jc w:val="center"/>
              <w:rPr>
                <w:szCs w:val="21"/>
              </w:rPr>
            </w:pPr>
            <w:r>
              <w:rPr>
                <w:szCs w:val="21"/>
              </w:rPr>
              <w:t>200</w:t>
            </w:r>
          </w:p>
        </w:tc>
        <w:tc>
          <w:tcPr>
            <w:tcW w:w="465" w:type="pct"/>
            <w:tcBorders>
              <w:top w:val="single" w:color="auto" w:sz="4" w:space="0"/>
              <w:left w:val="single" w:color="auto" w:sz="4" w:space="0"/>
              <w:bottom w:val="single" w:color="auto" w:sz="4" w:space="0"/>
              <w:right w:val="single" w:color="auto" w:sz="4" w:space="0"/>
            </w:tcBorders>
            <w:noWrap w:val="0"/>
            <w:vAlign w:val="center"/>
          </w:tcPr>
          <w:p>
            <w:pPr>
              <w:jc w:val="center"/>
              <w:rPr>
                <w:szCs w:val="21"/>
              </w:rPr>
            </w:pPr>
            <w:r>
              <w:rPr>
                <w:szCs w:val="21"/>
              </w:rPr>
              <w:t>100</w:t>
            </w:r>
          </w:p>
        </w:tc>
        <w:tc>
          <w:tcPr>
            <w:tcW w:w="946" w:type="pct"/>
            <w:tcBorders>
              <w:top w:val="single" w:color="auto" w:sz="4" w:space="0"/>
              <w:left w:val="single" w:color="auto" w:sz="4" w:space="0"/>
              <w:bottom w:val="single" w:color="auto" w:sz="4" w:space="0"/>
              <w:right w:val="single" w:color="auto" w:sz="4" w:space="0"/>
            </w:tcBorders>
            <w:noWrap w:val="0"/>
            <w:vAlign w:val="center"/>
          </w:tcPr>
          <w:p>
            <w:pPr>
              <w:jc w:val="center"/>
              <w:rPr>
                <w:szCs w:val="21"/>
              </w:rPr>
            </w:pPr>
            <w:r>
              <w:rPr>
                <w:szCs w:val="21"/>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cantSplit/>
          <w:trHeight w:val="28" w:hRule="atLeast"/>
          <w:jc w:val="center"/>
        </w:trPr>
        <w:tc>
          <w:tcPr>
            <w:tcW w:w="946" w:type="pct"/>
            <w:tcBorders>
              <w:top w:val="single" w:color="auto" w:sz="4" w:space="0"/>
              <w:left w:val="single" w:color="auto" w:sz="4" w:space="0"/>
              <w:bottom w:val="single" w:color="auto" w:sz="4" w:space="0"/>
              <w:right w:val="single" w:color="auto" w:sz="4" w:space="0"/>
            </w:tcBorders>
            <w:noWrap w:val="0"/>
            <w:vAlign w:val="center"/>
          </w:tcPr>
          <w:p>
            <w:pPr>
              <w:jc w:val="center"/>
              <w:rPr>
                <w:szCs w:val="21"/>
              </w:rPr>
            </w:pPr>
            <w:r>
              <w:rPr>
                <w:szCs w:val="21"/>
              </w:rPr>
              <w:t>评价分值</w:t>
            </w:r>
          </w:p>
        </w:tc>
        <w:tc>
          <w:tcPr>
            <w:tcW w:w="785" w:type="pct"/>
            <w:tcBorders>
              <w:top w:val="single" w:color="auto" w:sz="4" w:space="0"/>
              <w:left w:val="single" w:color="auto" w:sz="4" w:space="0"/>
              <w:bottom w:val="single" w:color="auto" w:sz="4" w:space="0"/>
              <w:right w:val="single" w:color="auto" w:sz="4" w:space="0"/>
            </w:tcBorders>
            <w:noWrap w:val="0"/>
            <w:vAlign w:val="center"/>
          </w:tcPr>
          <w:p>
            <w:pPr>
              <w:jc w:val="center"/>
              <w:rPr>
                <w:szCs w:val="21"/>
              </w:rPr>
            </w:pPr>
            <w:r>
              <w:rPr>
                <w:szCs w:val="21"/>
              </w:rPr>
              <w:t>400</w:t>
            </w:r>
          </w:p>
        </w:tc>
        <w:tc>
          <w:tcPr>
            <w:tcW w:w="465" w:type="pct"/>
            <w:tcBorders>
              <w:top w:val="single" w:color="auto" w:sz="4" w:space="0"/>
              <w:left w:val="single" w:color="auto" w:sz="4" w:space="0"/>
              <w:bottom w:val="single" w:color="auto" w:sz="4" w:space="0"/>
              <w:right w:val="single" w:color="auto" w:sz="4" w:space="0"/>
            </w:tcBorders>
            <w:noWrap w:val="0"/>
            <w:vAlign w:val="center"/>
          </w:tcPr>
          <w:p>
            <w:pPr>
              <w:jc w:val="center"/>
              <w:rPr>
                <w:szCs w:val="21"/>
              </w:rPr>
            </w:pPr>
            <w:r>
              <w:rPr>
                <w:szCs w:val="21"/>
              </w:rPr>
              <w:t>100</w:t>
            </w:r>
          </w:p>
        </w:tc>
        <w:tc>
          <w:tcPr>
            <w:tcW w:w="465" w:type="pct"/>
            <w:tcBorders>
              <w:top w:val="single" w:color="auto" w:sz="4" w:space="0"/>
              <w:left w:val="single" w:color="auto" w:sz="4" w:space="0"/>
              <w:bottom w:val="single" w:color="auto" w:sz="4" w:space="0"/>
              <w:right w:val="single" w:color="auto" w:sz="4" w:space="0"/>
            </w:tcBorders>
            <w:noWrap w:val="0"/>
            <w:vAlign w:val="center"/>
          </w:tcPr>
          <w:p>
            <w:pPr>
              <w:jc w:val="center"/>
              <w:rPr>
                <w:szCs w:val="21"/>
              </w:rPr>
            </w:pPr>
            <w:r>
              <w:rPr>
                <w:szCs w:val="21"/>
              </w:rPr>
              <w:t>100</w:t>
            </w:r>
          </w:p>
        </w:tc>
        <w:tc>
          <w:tcPr>
            <w:tcW w:w="465" w:type="pct"/>
            <w:tcBorders>
              <w:top w:val="single" w:color="auto" w:sz="4" w:space="0"/>
              <w:left w:val="single" w:color="auto" w:sz="4" w:space="0"/>
              <w:bottom w:val="single" w:color="auto" w:sz="4" w:space="0"/>
              <w:right w:val="single" w:color="auto" w:sz="4" w:space="0"/>
            </w:tcBorders>
            <w:noWrap w:val="0"/>
            <w:vAlign w:val="center"/>
          </w:tcPr>
          <w:p>
            <w:pPr>
              <w:jc w:val="center"/>
              <w:rPr>
                <w:szCs w:val="21"/>
              </w:rPr>
            </w:pPr>
            <w:r>
              <w:rPr>
                <w:szCs w:val="21"/>
              </w:rPr>
              <w:t>100</w:t>
            </w:r>
          </w:p>
        </w:tc>
        <w:tc>
          <w:tcPr>
            <w:tcW w:w="465" w:type="pct"/>
            <w:tcBorders>
              <w:top w:val="single" w:color="auto" w:sz="4" w:space="0"/>
              <w:left w:val="single" w:color="auto" w:sz="4" w:space="0"/>
              <w:bottom w:val="single" w:color="auto" w:sz="4" w:space="0"/>
              <w:right w:val="single" w:color="auto" w:sz="4" w:space="0"/>
            </w:tcBorders>
            <w:noWrap w:val="0"/>
            <w:vAlign w:val="center"/>
          </w:tcPr>
          <w:p>
            <w:pPr>
              <w:jc w:val="center"/>
              <w:rPr>
                <w:szCs w:val="21"/>
              </w:rPr>
            </w:pPr>
            <w:r>
              <w:rPr>
                <w:szCs w:val="21"/>
              </w:rPr>
              <w:t>200</w:t>
            </w:r>
          </w:p>
        </w:tc>
        <w:tc>
          <w:tcPr>
            <w:tcW w:w="465" w:type="pct"/>
            <w:tcBorders>
              <w:top w:val="single" w:color="auto" w:sz="4" w:space="0"/>
              <w:left w:val="single" w:color="auto" w:sz="4" w:space="0"/>
              <w:bottom w:val="single" w:color="auto" w:sz="4" w:space="0"/>
              <w:right w:val="single" w:color="auto" w:sz="4" w:space="0"/>
            </w:tcBorders>
            <w:noWrap w:val="0"/>
            <w:vAlign w:val="center"/>
          </w:tcPr>
          <w:p>
            <w:pPr>
              <w:jc w:val="center"/>
              <w:rPr>
                <w:szCs w:val="21"/>
              </w:rPr>
            </w:pPr>
            <w:r>
              <w:rPr>
                <w:szCs w:val="21"/>
              </w:rPr>
              <w:t>100</w:t>
            </w:r>
          </w:p>
        </w:tc>
        <w:tc>
          <w:tcPr>
            <w:tcW w:w="946" w:type="pct"/>
            <w:tcBorders>
              <w:top w:val="single" w:color="auto" w:sz="4" w:space="0"/>
              <w:left w:val="single" w:color="auto" w:sz="4" w:space="0"/>
              <w:bottom w:val="single" w:color="auto" w:sz="4" w:space="0"/>
              <w:right w:val="single" w:color="auto" w:sz="4" w:space="0"/>
            </w:tcBorders>
            <w:noWrap w:val="0"/>
            <w:vAlign w:val="center"/>
          </w:tcPr>
          <w:p>
            <w:pPr>
              <w:jc w:val="center"/>
              <w:rPr>
                <w:szCs w:val="21"/>
              </w:rPr>
            </w:pPr>
            <w:r>
              <w:rPr>
                <w:szCs w:val="21"/>
              </w:rPr>
              <w:t>100</w:t>
            </w:r>
          </w:p>
        </w:tc>
      </w:tr>
    </w:tbl>
    <w:p>
      <w:pPr>
        <w:pStyle w:val="26"/>
        <w:spacing w:line="240" w:lineRule="auto"/>
        <w:ind w:firstLine="0" w:firstLineChars="0"/>
        <w:outlineLvl w:val="9"/>
        <w:rPr>
          <w:sz w:val="21"/>
          <w:szCs w:val="21"/>
        </w:rPr>
      </w:pPr>
      <w:r>
        <w:rPr>
          <w:sz w:val="21"/>
          <w:szCs w:val="21"/>
        </w:rPr>
        <w:t>注：预评价时，本标准第6.2.10、6.2.11、6.2.12、6.2.13、9.2.8条不得分。</w:t>
      </w:r>
    </w:p>
    <w:p>
      <w:pPr>
        <w:widowControl/>
        <w:spacing w:line="360" w:lineRule="auto"/>
        <w:ind w:firstLine="482" w:firstLineChars="200"/>
        <w:rPr>
          <w:b/>
          <w:bCs/>
          <w:sz w:val="24"/>
          <w:szCs w:val="24"/>
        </w:rPr>
      </w:pPr>
    </w:p>
    <w:p>
      <w:pPr>
        <w:pStyle w:val="26"/>
        <w:adjustRightInd/>
        <w:spacing w:line="360" w:lineRule="auto"/>
        <w:ind w:firstLine="0" w:firstLineChars="0"/>
        <w:outlineLvl w:val="3"/>
        <w:rPr>
          <w:szCs w:val="24"/>
        </w:rPr>
      </w:pPr>
      <w:bookmarkStart w:id="85" w:name="_Toc406395677"/>
      <w:bookmarkStart w:id="86" w:name="_Toc10660279"/>
      <w:r>
        <w:rPr>
          <w:b/>
          <w:bCs/>
          <w:szCs w:val="24"/>
        </w:rPr>
        <w:t>3.2.5</w:t>
      </w:r>
      <w:bookmarkEnd w:id="85"/>
      <w:r>
        <w:rPr>
          <w:rFonts w:hint="eastAsia"/>
          <w:b/>
          <w:bCs/>
          <w:szCs w:val="24"/>
        </w:rPr>
        <w:t xml:space="preserve">  </w:t>
      </w:r>
      <w:r>
        <w:rPr>
          <w:szCs w:val="24"/>
        </w:rPr>
        <w:t>绿色建筑评价的总得分应按下式进行计算。</w:t>
      </w:r>
      <w:bookmarkEnd w:id="86"/>
    </w:p>
    <w:p>
      <w:pPr>
        <w:pStyle w:val="26"/>
        <w:adjustRightInd/>
        <w:spacing w:line="360" w:lineRule="auto"/>
        <w:ind w:firstLine="720" w:firstLineChars="300"/>
        <w:outlineLvl w:val="9"/>
        <w:rPr>
          <w:szCs w:val="24"/>
          <w:lang w:val="pl-PL"/>
        </w:rPr>
      </w:pPr>
      <w:r>
        <w:rPr>
          <w:i/>
          <w:szCs w:val="24"/>
        </w:rPr>
        <w:t>Q</w:t>
      </w:r>
      <w:r>
        <w:rPr>
          <w:szCs w:val="24"/>
        </w:rPr>
        <w:t>=（</w:t>
      </w:r>
      <w:r>
        <w:rPr>
          <w:i/>
          <w:szCs w:val="24"/>
        </w:rPr>
        <w:t>Q</w:t>
      </w:r>
      <w:r>
        <w:rPr>
          <w:szCs w:val="24"/>
          <w:vertAlign w:val="subscript"/>
        </w:rPr>
        <w:t>0</w:t>
      </w:r>
      <w:r>
        <w:rPr>
          <w:szCs w:val="24"/>
        </w:rPr>
        <w:t>+</w:t>
      </w:r>
      <w:r>
        <w:rPr>
          <w:i/>
          <w:szCs w:val="24"/>
        </w:rPr>
        <w:t>Q</w:t>
      </w:r>
      <w:r>
        <w:rPr>
          <w:szCs w:val="24"/>
          <w:vertAlign w:val="subscript"/>
        </w:rPr>
        <w:t>1</w:t>
      </w:r>
      <w:r>
        <w:rPr>
          <w:szCs w:val="24"/>
        </w:rPr>
        <w:t>+</w:t>
      </w:r>
      <w:r>
        <w:rPr>
          <w:i/>
          <w:szCs w:val="24"/>
        </w:rPr>
        <w:t>Q</w:t>
      </w:r>
      <w:r>
        <w:rPr>
          <w:szCs w:val="24"/>
          <w:vertAlign w:val="subscript"/>
        </w:rPr>
        <w:t>2</w:t>
      </w:r>
      <w:r>
        <w:rPr>
          <w:szCs w:val="24"/>
        </w:rPr>
        <w:t>+</w:t>
      </w:r>
      <w:r>
        <w:rPr>
          <w:i/>
          <w:szCs w:val="24"/>
        </w:rPr>
        <w:t>Q</w:t>
      </w:r>
      <w:r>
        <w:rPr>
          <w:szCs w:val="24"/>
          <w:vertAlign w:val="subscript"/>
        </w:rPr>
        <w:t>3</w:t>
      </w:r>
      <w:r>
        <w:rPr>
          <w:szCs w:val="24"/>
        </w:rPr>
        <w:t>+</w:t>
      </w:r>
      <w:r>
        <w:rPr>
          <w:i/>
          <w:szCs w:val="24"/>
        </w:rPr>
        <w:t>Q</w:t>
      </w:r>
      <w:r>
        <w:rPr>
          <w:szCs w:val="24"/>
          <w:vertAlign w:val="subscript"/>
        </w:rPr>
        <w:t>4</w:t>
      </w:r>
      <w:r>
        <w:rPr>
          <w:szCs w:val="24"/>
        </w:rPr>
        <w:t>+</w:t>
      </w:r>
      <w:r>
        <w:rPr>
          <w:i/>
          <w:szCs w:val="24"/>
        </w:rPr>
        <w:t>Q</w:t>
      </w:r>
      <w:r>
        <w:rPr>
          <w:szCs w:val="24"/>
          <w:vertAlign w:val="subscript"/>
        </w:rPr>
        <w:t>5</w:t>
      </w:r>
      <w:r>
        <w:rPr>
          <w:szCs w:val="24"/>
        </w:rPr>
        <w:t>+</w:t>
      </w:r>
      <w:r>
        <w:rPr>
          <w:i/>
          <w:szCs w:val="24"/>
        </w:rPr>
        <w:t>Q</w:t>
      </w:r>
      <w:r>
        <w:rPr>
          <w:szCs w:val="24"/>
          <w:vertAlign w:val="subscript"/>
        </w:rPr>
        <w:t>A</w:t>
      </w:r>
      <w:r>
        <w:rPr>
          <w:szCs w:val="24"/>
        </w:rPr>
        <w:t xml:space="preserve">）/10        </w:t>
      </w:r>
      <w:r>
        <w:rPr>
          <w:rFonts w:hint="eastAsia"/>
          <w:szCs w:val="24"/>
        </w:rPr>
        <w:t xml:space="preserve">                      </w:t>
      </w:r>
      <w:r>
        <w:rPr>
          <w:szCs w:val="24"/>
        </w:rPr>
        <w:t xml:space="preserve">  </w:t>
      </w:r>
      <w:r>
        <w:rPr>
          <w:szCs w:val="24"/>
          <w:lang w:val="pl-PL"/>
        </w:rPr>
        <w:t>（3.2.5）</w:t>
      </w:r>
    </w:p>
    <w:p>
      <w:pPr>
        <w:pStyle w:val="26"/>
        <w:adjustRightInd/>
        <w:spacing w:line="360" w:lineRule="auto"/>
        <w:ind w:firstLine="480"/>
        <w:outlineLvl w:val="9"/>
        <w:rPr>
          <w:szCs w:val="24"/>
          <w:lang w:val="pl-PL"/>
        </w:rPr>
      </w:pPr>
      <w:r>
        <w:rPr>
          <w:szCs w:val="24"/>
          <w:lang w:val="pl-PL"/>
        </w:rPr>
        <w:t>式中：</w:t>
      </w:r>
      <w:r>
        <w:rPr>
          <w:i/>
          <w:szCs w:val="24"/>
          <w:lang w:val="pl-PL"/>
        </w:rPr>
        <w:t>Q</w:t>
      </w:r>
      <w:r>
        <w:rPr>
          <w:szCs w:val="24"/>
          <w:lang w:val="pl-PL"/>
        </w:rPr>
        <w:t>——总得分；</w:t>
      </w:r>
    </w:p>
    <w:p>
      <w:pPr>
        <w:pStyle w:val="26"/>
        <w:adjustRightInd/>
        <w:spacing w:line="360" w:lineRule="auto"/>
        <w:ind w:firstLine="1132" w:firstLineChars="472"/>
        <w:outlineLvl w:val="9"/>
        <w:rPr>
          <w:szCs w:val="24"/>
          <w:lang w:val="pl-PL"/>
        </w:rPr>
      </w:pPr>
      <w:r>
        <w:rPr>
          <w:i/>
          <w:szCs w:val="24"/>
          <w:lang w:val="pl-PL"/>
        </w:rPr>
        <w:t>Q</w:t>
      </w:r>
      <w:r>
        <w:rPr>
          <w:szCs w:val="24"/>
          <w:vertAlign w:val="subscript"/>
          <w:lang w:val="pl-PL"/>
        </w:rPr>
        <w:t>0</w:t>
      </w:r>
      <w:r>
        <w:rPr>
          <w:szCs w:val="24"/>
          <w:lang w:val="pl-PL"/>
        </w:rPr>
        <w:t>——</w:t>
      </w:r>
      <w:bookmarkStart w:id="87" w:name="_Hlk531000525"/>
      <w:r>
        <w:rPr>
          <w:szCs w:val="24"/>
          <w:lang w:val="pl-PL"/>
        </w:rPr>
        <w:t>控制项基础分值</w:t>
      </w:r>
      <w:bookmarkEnd w:id="87"/>
      <w:r>
        <w:rPr>
          <w:szCs w:val="24"/>
          <w:lang w:val="pl-PL"/>
        </w:rPr>
        <w:t>，当满足所有控制项的要求时取400分；</w:t>
      </w:r>
    </w:p>
    <w:p>
      <w:pPr>
        <w:pStyle w:val="26"/>
        <w:adjustRightInd/>
        <w:spacing w:line="360" w:lineRule="auto"/>
        <w:ind w:firstLine="1080" w:firstLineChars="450"/>
        <w:outlineLvl w:val="9"/>
        <w:rPr>
          <w:szCs w:val="24"/>
          <w:lang w:val="pl-PL"/>
        </w:rPr>
      </w:pPr>
      <w:r>
        <w:rPr>
          <w:i/>
          <w:szCs w:val="24"/>
          <w:lang w:val="pl-PL"/>
        </w:rPr>
        <w:t>Q</w:t>
      </w:r>
      <w:r>
        <w:rPr>
          <w:szCs w:val="24"/>
          <w:vertAlign w:val="subscript"/>
          <w:lang w:val="pl-PL"/>
        </w:rPr>
        <w:t>1</w:t>
      </w:r>
      <w:r>
        <w:rPr>
          <w:szCs w:val="24"/>
          <w:lang w:val="pl-PL"/>
        </w:rPr>
        <w:t>~</w:t>
      </w:r>
      <w:r>
        <w:rPr>
          <w:i/>
          <w:szCs w:val="24"/>
          <w:lang w:val="pl-PL"/>
        </w:rPr>
        <w:t>Q</w:t>
      </w:r>
      <w:r>
        <w:rPr>
          <w:szCs w:val="24"/>
          <w:vertAlign w:val="subscript"/>
          <w:lang w:val="pl-PL"/>
        </w:rPr>
        <w:t>5</w:t>
      </w:r>
      <w:r>
        <w:rPr>
          <w:szCs w:val="24"/>
          <w:lang w:val="pl-PL"/>
        </w:rPr>
        <w:t>——分别为</w:t>
      </w:r>
      <w:r>
        <w:rPr>
          <w:szCs w:val="24"/>
        </w:rPr>
        <w:t>评价指标体系</w:t>
      </w:r>
      <w:r>
        <w:rPr>
          <w:szCs w:val="24"/>
          <w:lang w:val="pl-PL"/>
        </w:rPr>
        <w:t>5类指标（安全耐久、健康舒适、生活便利、资源节约、环境宜居）评分项得分；</w:t>
      </w:r>
    </w:p>
    <w:p>
      <w:pPr>
        <w:pStyle w:val="26"/>
        <w:adjustRightInd/>
        <w:spacing w:line="360" w:lineRule="auto"/>
        <w:ind w:firstLine="1132" w:firstLineChars="472"/>
        <w:outlineLvl w:val="9"/>
        <w:rPr>
          <w:rFonts w:hint="eastAsia"/>
          <w:szCs w:val="24"/>
        </w:rPr>
      </w:pPr>
      <w:r>
        <w:rPr>
          <w:i/>
          <w:szCs w:val="24"/>
          <w:lang w:val="pl-PL"/>
        </w:rPr>
        <w:t>Q</w:t>
      </w:r>
      <w:r>
        <w:rPr>
          <w:szCs w:val="24"/>
          <w:vertAlign w:val="subscript"/>
          <w:lang w:val="pl-PL"/>
        </w:rPr>
        <w:t>A</w:t>
      </w:r>
      <w:r>
        <w:rPr>
          <w:szCs w:val="24"/>
          <w:lang w:val="pl-PL"/>
        </w:rPr>
        <w:t>——提高与创新加分项得分</w:t>
      </w:r>
      <w:r>
        <w:rPr>
          <w:szCs w:val="24"/>
        </w:rPr>
        <w:t>。</w:t>
      </w:r>
    </w:p>
    <w:p>
      <w:pPr>
        <w:pStyle w:val="26"/>
        <w:adjustRightInd/>
        <w:spacing w:line="360" w:lineRule="auto"/>
        <w:ind w:firstLine="0" w:firstLineChars="0"/>
        <w:outlineLvl w:val="3"/>
        <w:rPr>
          <w:rFonts w:hint="eastAsia"/>
          <w:szCs w:val="24"/>
        </w:rPr>
      </w:pPr>
      <w:bookmarkStart w:id="88" w:name="_Toc406395678"/>
      <w:bookmarkStart w:id="89" w:name="_Toc10660280"/>
      <w:r>
        <w:rPr>
          <w:b/>
          <w:bCs/>
          <w:szCs w:val="24"/>
        </w:rPr>
        <w:t>3.2.6</w:t>
      </w:r>
      <w:bookmarkEnd w:id="88"/>
      <w:r>
        <w:rPr>
          <w:rFonts w:hint="eastAsia"/>
          <w:b/>
          <w:bCs/>
          <w:szCs w:val="24"/>
        </w:rPr>
        <w:t xml:space="preserve">  </w:t>
      </w:r>
      <w:r>
        <w:rPr>
          <w:szCs w:val="24"/>
        </w:rPr>
        <w:t>绿色建筑划分应为基本级、一星级、二星级、三星级4个等级。</w:t>
      </w:r>
      <w:bookmarkEnd w:id="89"/>
    </w:p>
    <w:p>
      <w:pPr>
        <w:pStyle w:val="26"/>
        <w:spacing w:line="360" w:lineRule="auto"/>
        <w:ind w:firstLine="0" w:firstLineChars="0"/>
        <w:outlineLvl w:val="3"/>
        <w:rPr>
          <w:rFonts w:hint="eastAsia"/>
          <w:b/>
          <w:bCs/>
          <w:szCs w:val="24"/>
        </w:rPr>
      </w:pPr>
      <w:bookmarkStart w:id="90" w:name="_Toc406395679"/>
      <w:bookmarkStart w:id="91" w:name="_Toc10660281"/>
      <w:r>
        <w:rPr>
          <w:b/>
          <w:bCs/>
          <w:szCs w:val="24"/>
        </w:rPr>
        <w:t>3.2.7</w:t>
      </w:r>
      <w:bookmarkEnd w:id="90"/>
      <w:r>
        <w:rPr>
          <w:rFonts w:hint="eastAsia"/>
          <w:b/>
          <w:bCs/>
          <w:szCs w:val="24"/>
        </w:rPr>
        <w:t xml:space="preserve">  </w:t>
      </w:r>
      <w:r>
        <w:rPr>
          <w:szCs w:val="24"/>
        </w:rPr>
        <w:t>当满足全部控制项要求时，绿色建筑等级应为基本级。</w:t>
      </w:r>
      <w:bookmarkEnd w:id="91"/>
    </w:p>
    <w:p>
      <w:pPr>
        <w:pStyle w:val="26"/>
        <w:spacing w:line="360" w:lineRule="auto"/>
        <w:ind w:firstLine="0" w:firstLineChars="0"/>
        <w:outlineLvl w:val="3"/>
        <w:rPr>
          <w:szCs w:val="24"/>
        </w:rPr>
      </w:pPr>
      <w:bookmarkStart w:id="92" w:name="_Toc406395680"/>
      <w:bookmarkStart w:id="93" w:name="_Toc10660282"/>
      <w:r>
        <w:rPr>
          <w:b/>
          <w:bCs/>
          <w:szCs w:val="24"/>
        </w:rPr>
        <w:t>3.2.8</w:t>
      </w:r>
      <w:bookmarkEnd w:id="92"/>
      <w:r>
        <w:rPr>
          <w:rFonts w:hint="eastAsia"/>
          <w:b/>
          <w:bCs/>
          <w:szCs w:val="24"/>
        </w:rPr>
        <w:t xml:space="preserve">  </w:t>
      </w:r>
      <w:r>
        <w:rPr>
          <w:szCs w:val="24"/>
        </w:rPr>
        <w:t>绿色建筑星级等级应按下列规定确定：</w:t>
      </w:r>
      <w:bookmarkEnd w:id="93"/>
    </w:p>
    <w:p>
      <w:pPr>
        <w:pStyle w:val="26"/>
        <w:spacing w:line="360" w:lineRule="auto"/>
        <w:ind w:firstLine="482"/>
        <w:outlineLvl w:val="9"/>
        <w:rPr>
          <w:szCs w:val="24"/>
        </w:rPr>
      </w:pPr>
      <w:r>
        <w:rPr>
          <w:b/>
          <w:szCs w:val="24"/>
        </w:rPr>
        <w:t>1</w:t>
      </w:r>
      <w:r>
        <w:rPr>
          <w:rFonts w:hint="eastAsia"/>
          <w:b/>
          <w:bCs/>
          <w:szCs w:val="24"/>
        </w:rPr>
        <w:t xml:space="preserve">  </w:t>
      </w:r>
      <w:r>
        <w:rPr>
          <w:szCs w:val="24"/>
        </w:rPr>
        <w:t>一星级、二星级、三星级3个等级的绿色建筑均应满足本标准全部控制项的要求，且每类指标的评分项得分不应小于其评分项满分值的30%；</w:t>
      </w:r>
    </w:p>
    <w:p>
      <w:pPr>
        <w:pStyle w:val="26"/>
        <w:spacing w:line="360" w:lineRule="auto"/>
        <w:ind w:firstLine="482"/>
        <w:outlineLvl w:val="9"/>
        <w:rPr>
          <w:szCs w:val="24"/>
        </w:rPr>
      </w:pPr>
      <w:r>
        <w:rPr>
          <w:b/>
          <w:szCs w:val="24"/>
        </w:rPr>
        <w:t>2</w:t>
      </w:r>
      <w:r>
        <w:rPr>
          <w:rFonts w:hint="eastAsia"/>
          <w:b/>
          <w:bCs/>
          <w:szCs w:val="24"/>
        </w:rPr>
        <w:t xml:space="preserve">  </w:t>
      </w:r>
      <w:r>
        <w:rPr>
          <w:szCs w:val="24"/>
        </w:rPr>
        <w:t>一星级、二星级、三星级3个等级的绿色建筑均应进行全装修，全装修工程质量、选用材料及产品质量应符合国家现行有关标准的规定；</w:t>
      </w:r>
    </w:p>
    <w:p>
      <w:pPr>
        <w:pStyle w:val="26"/>
        <w:spacing w:line="360" w:lineRule="auto"/>
        <w:ind w:firstLine="482"/>
        <w:outlineLvl w:val="9"/>
        <w:rPr>
          <w:szCs w:val="24"/>
        </w:rPr>
      </w:pPr>
      <w:r>
        <w:rPr>
          <w:b/>
          <w:szCs w:val="24"/>
        </w:rPr>
        <w:t>3</w:t>
      </w:r>
      <w:r>
        <w:rPr>
          <w:rFonts w:hint="eastAsia"/>
          <w:b/>
          <w:bCs/>
          <w:szCs w:val="24"/>
        </w:rPr>
        <w:t xml:space="preserve">  </w:t>
      </w:r>
      <w:r>
        <w:rPr>
          <w:szCs w:val="24"/>
        </w:rPr>
        <w:t>当总得分分别达到60分、70分、85分且应满足表3.2.8的要求时，绿色建筑等级分别为一星级、二星级、三星级。</w:t>
      </w:r>
    </w:p>
    <w:p>
      <w:pPr>
        <w:pStyle w:val="26"/>
        <w:spacing w:line="240" w:lineRule="auto"/>
        <w:ind w:firstLine="0" w:firstLineChars="0"/>
        <w:jc w:val="center"/>
        <w:outlineLvl w:val="9"/>
        <w:rPr>
          <w:rFonts w:eastAsia="黑体"/>
          <w:b/>
          <w:sz w:val="22"/>
          <w:szCs w:val="22"/>
        </w:rPr>
      </w:pPr>
      <w:r>
        <w:rPr>
          <w:rFonts w:eastAsia="黑体"/>
          <w:b/>
          <w:sz w:val="22"/>
          <w:szCs w:val="22"/>
        </w:rPr>
        <w:t>表3.2.8 一星级、二星级、三星级绿色建筑的技术要求</w:t>
      </w:r>
    </w:p>
    <w:tbl>
      <w:tblPr>
        <w:tblStyle w:val="11"/>
        <w:tblW w:w="48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81"/>
        <w:gridCol w:w="2239"/>
        <w:gridCol w:w="2446"/>
        <w:gridCol w:w="23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1266" w:type="pct"/>
            <w:noWrap w:val="0"/>
            <w:vAlign w:val="center"/>
          </w:tcPr>
          <w:p>
            <w:pPr>
              <w:pStyle w:val="26"/>
              <w:spacing w:line="240" w:lineRule="auto"/>
              <w:ind w:firstLine="0" w:firstLineChars="0"/>
              <w:jc w:val="center"/>
              <w:outlineLvl w:val="9"/>
              <w:rPr>
                <w:sz w:val="21"/>
                <w:szCs w:val="21"/>
                <w:lang w:val="en-US" w:eastAsia="zh-CN"/>
              </w:rPr>
            </w:pPr>
          </w:p>
        </w:tc>
        <w:tc>
          <w:tcPr>
            <w:tcW w:w="1190" w:type="pct"/>
            <w:noWrap w:val="0"/>
            <w:vAlign w:val="center"/>
          </w:tcPr>
          <w:p>
            <w:pPr>
              <w:pStyle w:val="26"/>
              <w:spacing w:line="240" w:lineRule="auto"/>
              <w:ind w:firstLine="0" w:firstLineChars="0"/>
              <w:jc w:val="center"/>
              <w:outlineLvl w:val="9"/>
              <w:rPr>
                <w:sz w:val="21"/>
                <w:szCs w:val="21"/>
                <w:lang w:val="en-US" w:eastAsia="zh-CN"/>
              </w:rPr>
            </w:pPr>
            <w:r>
              <w:rPr>
                <w:sz w:val="21"/>
                <w:szCs w:val="21"/>
                <w:lang w:val="en-US" w:eastAsia="zh-CN"/>
              </w:rPr>
              <w:t>一星级</w:t>
            </w:r>
          </w:p>
        </w:tc>
        <w:tc>
          <w:tcPr>
            <w:tcW w:w="1300" w:type="pct"/>
            <w:noWrap w:val="0"/>
            <w:vAlign w:val="center"/>
          </w:tcPr>
          <w:p>
            <w:pPr>
              <w:pStyle w:val="26"/>
              <w:spacing w:line="240" w:lineRule="auto"/>
              <w:ind w:firstLine="0" w:firstLineChars="0"/>
              <w:jc w:val="center"/>
              <w:outlineLvl w:val="9"/>
              <w:rPr>
                <w:sz w:val="21"/>
                <w:szCs w:val="21"/>
                <w:lang w:val="en-US" w:eastAsia="zh-CN"/>
              </w:rPr>
            </w:pPr>
            <w:r>
              <w:rPr>
                <w:sz w:val="21"/>
                <w:szCs w:val="21"/>
                <w:lang w:val="en-US" w:eastAsia="zh-CN"/>
              </w:rPr>
              <w:t>二星级</w:t>
            </w:r>
          </w:p>
        </w:tc>
        <w:tc>
          <w:tcPr>
            <w:tcW w:w="1244" w:type="pct"/>
            <w:noWrap w:val="0"/>
            <w:vAlign w:val="center"/>
          </w:tcPr>
          <w:p>
            <w:pPr>
              <w:pStyle w:val="26"/>
              <w:spacing w:line="240" w:lineRule="auto"/>
              <w:ind w:firstLine="0" w:firstLineChars="0"/>
              <w:jc w:val="center"/>
              <w:outlineLvl w:val="9"/>
              <w:rPr>
                <w:sz w:val="21"/>
                <w:szCs w:val="21"/>
                <w:lang w:val="en-US" w:eastAsia="zh-CN"/>
              </w:rPr>
            </w:pPr>
            <w:r>
              <w:rPr>
                <w:sz w:val="21"/>
                <w:szCs w:val="21"/>
                <w:lang w:val="en-US" w:eastAsia="zh-CN"/>
              </w:rPr>
              <w:t>三星级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1266" w:type="pct"/>
            <w:noWrap w:val="0"/>
            <w:vAlign w:val="center"/>
          </w:tcPr>
          <w:p>
            <w:pPr>
              <w:pStyle w:val="26"/>
              <w:spacing w:line="240" w:lineRule="auto"/>
              <w:ind w:firstLine="0" w:firstLineChars="0"/>
              <w:jc w:val="center"/>
              <w:outlineLvl w:val="9"/>
              <w:rPr>
                <w:sz w:val="21"/>
                <w:szCs w:val="21"/>
                <w:lang w:val="en-US" w:eastAsia="zh-CN"/>
              </w:rPr>
            </w:pPr>
            <w:bookmarkStart w:id="94" w:name="_Hlk533759004"/>
            <w:r>
              <w:rPr>
                <w:sz w:val="21"/>
                <w:szCs w:val="21"/>
                <w:lang w:val="en-US" w:eastAsia="zh-CN"/>
              </w:rPr>
              <w:t>围护结构热工性能的提高比例，或建筑供暖空调负荷降低比例</w:t>
            </w:r>
          </w:p>
        </w:tc>
        <w:tc>
          <w:tcPr>
            <w:tcW w:w="1190" w:type="pct"/>
            <w:noWrap w:val="0"/>
            <w:vAlign w:val="center"/>
          </w:tcPr>
          <w:p>
            <w:pPr>
              <w:pStyle w:val="26"/>
              <w:spacing w:line="240" w:lineRule="auto"/>
              <w:ind w:firstLine="0" w:firstLineChars="0"/>
              <w:jc w:val="center"/>
              <w:outlineLvl w:val="9"/>
              <w:rPr>
                <w:sz w:val="21"/>
                <w:szCs w:val="21"/>
                <w:lang w:val="en-US" w:eastAsia="zh-CN"/>
              </w:rPr>
            </w:pPr>
            <w:r>
              <w:rPr>
                <w:sz w:val="21"/>
                <w:szCs w:val="21"/>
                <w:lang w:val="en-US" w:eastAsia="zh-CN"/>
              </w:rPr>
              <w:t>围护结构提高5%，</w:t>
            </w:r>
          </w:p>
          <w:p>
            <w:pPr>
              <w:pStyle w:val="26"/>
              <w:spacing w:line="240" w:lineRule="auto"/>
              <w:ind w:firstLine="0" w:firstLineChars="0"/>
              <w:jc w:val="center"/>
              <w:outlineLvl w:val="9"/>
              <w:rPr>
                <w:sz w:val="21"/>
                <w:szCs w:val="21"/>
                <w:lang w:val="en-US" w:eastAsia="zh-CN"/>
              </w:rPr>
            </w:pPr>
            <w:r>
              <w:rPr>
                <w:sz w:val="21"/>
                <w:szCs w:val="21"/>
                <w:lang w:val="en-US" w:eastAsia="zh-CN"/>
              </w:rPr>
              <w:t>或负荷降低5%</w:t>
            </w:r>
          </w:p>
        </w:tc>
        <w:tc>
          <w:tcPr>
            <w:tcW w:w="1300" w:type="pct"/>
            <w:noWrap w:val="0"/>
            <w:vAlign w:val="center"/>
          </w:tcPr>
          <w:p>
            <w:pPr>
              <w:pStyle w:val="26"/>
              <w:spacing w:line="240" w:lineRule="auto"/>
              <w:ind w:firstLine="0" w:firstLineChars="0"/>
              <w:jc w:val="center"/>
              <w:outlineLvl w:val="9"/>
              <w:rPr>
                <w:sz w:val="21"/>
                <w:szCs w:val="21"/>
                <w:lang w:val="en-US" w:eastAsia="zh-CN"/>
              </w:rPr>
            </w:pPr>
            <w:r>
              <w:rPr>
                <w:sz w:val="21"/>
                <w:szCs w:val="21"/>
                <w:lang w:val="en-US" w:eastAsia="zh-CN"/>
              </w:rPr>
              <w:t>围护结构提高10%，</w:t>
            </w:r>
          </w:p>
          <w:p>
            <w:pPr>
              <w:pStyle w:val="26"/>
              <w:spacing w:line="240" w:lineRule="auto"/>
              <w:ind w:firstLine="0" w:firstLineChars="0"/>
              <w:jc w:val="center"/>
              <w:outlineLvl w:val="9"/>
              <w:rPr>
                <w:sz w:val="21"/>
                <w:szCs w:val="21"/>
                <w:lang w:val="en-US" w:eastAsia="zh-CN"/>
              </w:rPr>
            </w:pPr>
            <w:r>
              <w:rPr>
                <w:sz w:val="21"/>
                <w:szCs w:val="21"/>
                <w:lang w:val="en-US" w:eastAsia="zh-CN"/>
              </w:rPr>
              <w:t>或负荷降低10%</w:t>
            </w:r>
          </w:p>
        </w:tc>
        <w:tc>
          <w:tcPr>
            <w:tcW w:w="1244" w:type="pct"/>
            <w:noWrap w:val="0"/>
            <w:vAlign w:val="center"/>
          </w:tcPr>
          <w:p>
            <w:pPr>
              <w:pStyle w:val="26"/>
              <w:spacing w:line="240" w:lineRule="auto"/>
              <w:ind w:firstLine="0" w:firstLineChars="0"/>
              <w:jc w:val="center"/>
              <w:outlineLvl w:val="9"/>
              <w:rPr>
                <w:sz w:val="21"/>
                <w:szCs w:val="21"/>
                <w:lang w:val="en-US" w:eastAsia="zh-CN"/>
              </w:rPr>
            </w:pPr>
            <w:r>
              <w:rPr>
                <w:sz w:val="21"/>
                <w:szCs w:val="21"/>
                <w:lang w:val="en-US" w:eastAsia="zh-CN"/>
              </w:rPr>
              <w:t>围护结构提高20%，</w:t>
            </w:r>
          </w:p>
          <w:p>
            <w:pPr>
              <w:pStyle w:val="26"/>
              <w:spacing w:line="240" w:lineRule="auto"/>
              <w:ind w:firstLine="0" w:firstLineChars="0"/>
              <w:jc w:val="center"/>
              <w:outlineLvl w:val="9"/>
              <w:rPr>
                <w:sz w:val="21"/>
                <w:szCs w:val="21"/>
                <w:lang w:val="en-US" w:eastAsia="zh-CN"/>
              </w:rPr>
            </w:pPr>
            <w:r>
              <w:rPr>
                <w:sz w:val="21"/>
                <w:szCs w:val="21"/>
                <w:lang w:val="en-US" w:eastAsia="zh-CN"/>
              </w:rPr>
              <w:t>或负荷降低15%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1266" w:type="pct"/>
            <w:noWrap w:val="0"/>
            <w:vAlign w:val="center"/>
          </w:tcPr>
          <w:p>
            <w:pPr>
              <w:pStyle w:val="26"/>
              <w:spacing w:line="240" w:lineRule="auto"/>
              <w:ind w:firstLine="0" w:firstLineChars="0"/>
              <w:jc w:val="center"/>
              <w:outlineLvl w:val="9"/>
              <w:rPr>
                <w:sz w:val="21"/>
                <w:szCs w:val="21"/>
                <w:lang w:val="en-US" w:eastAsia="zh-CN"/>
              </w:rPr>
            </w:pPr>
            <w:bookmarkStart w:id="95" w:name="_Hlk534622371"/>
            <w:r>
              <w:rPr>
                <w:sz w:val="21"/>
                <w:szCs w:val="21"/>
                <w:lang w:val="en-US" w:eastAsia="zh-CN"/>
              </w:rPr>
              <w:t>节水器具用水效率等级</w:t>
            </w:r>
          </w:p>
        </w:tc>
        <w:tc>
          <w:tcPr>
            <w:tcW w:w="1190" w:type="pct"/>
            <w:noWrap w:val="0"/>
            <w:vAlign w:val="center"/>
          </w:tcPr>
          <w:p>
            <w:pPr>
              <w:pStyle w:val="26"/>
              <w:spacing w:line="240" w:lineRule="auto"/>
              <w:ind w:firstLine="0" w:firstLineChars="0"/>
              <w:jc w:val="center"/>
              <w:outlineLvl w:val="9"/>
              <w:rPr>
                <w:sz w:val="21"/>
                <w:szCs w:val="21"/>
                <w:lang w:val="en-US" w:eastAsia="zh-CN"/>
              </w:rPr>
            </w:pPr>
            <w:r>
              <w:rPr>
                <w:sz w:val="21"/>
                <w:szCs w:val="21"/>
                <w:lang w:val="en-US" w:eastAsia="zh-CN"/>
              </w:rPr>
              <w:t>3级</w:t>
            </w:r>
          </w:p>
        </w:tc>
        <w:tc>
          <w:tcPr>
            <w:tcW w:w="2544" w:type="pct"/>
            <w:gridSpan w:val="2"/>
            <w:noWrap w:val="0"/>
            <w:vAlign w:val="center"/>
          </w:tcPr>
          <w:p>
            <w:pPr>
              <w:pStyle w:val="26"/>
              <w:spacing w:line="240" w:lineRule="auto"/>
              <w:ind w:firstLine="0" w:firstLineChars="0"/>
              <w:jc w:val="center"/>
              <w:outlineLvl w:val="9"/>
              <w:rPr>
                <w:sz w:val="21"/>
                <w:szCs w:val="21"/>
                <w:lang w:val="en-US" w:eastAsia="zh-CN"/>
              </w:rPr>
            </w:pPr>
            <w:r>
              <w:rPr>
                <w:sz w:val="21"/>
                <w:szCs w:val="21"/>
                <w:lang w:val="en-US" w:eastAsia="zh-CN"/>
              </w:rPr>
              <w:t>2级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1266" w:type="pct"/>
            <w:noWrap w:val="0"/>
            <w:vAlign w:val="center"/>
          </w:tcPr>
          <w:p>
            <w:pPr>
              <w:pStyle w:val="26"/>
              <w:spacing w:line="240" w:lineRule="auto"/>
              <w:ind w:firstLine="0" w:firstLineChars="0"/>
              <w:jc w:val="center"/>
              <w:outlineLvl w:val="9"/>
              <w:rPr>
                <w:sz w:val="21"/>
                <w:szCs w:val="21"/>
                <w:lang w:val="en-US" w:eastAsia="zh-CN"/>
              </w:rPr>
            </w:pPr>
            <w:r>
              <w:rPr>
                <w:sz w:val="21"/>
                <w:szCs w:val="21"/>
                <w:lang w:val="en-US" w:eastAsia="zh-CN"/>
              </w:rPr>
              <w:t>住宅建筑隔声性能</w:t>
            </w:r>
          </w:p>
        </w:tc>
        <w:tc>
          <w:tcPr>
            <w:tcW w:w="1190" w:type="pct"/>
            <w:noWrap w:val="0"/>
            <w:vAlign w:val="center"/>
          </w:tcPr>
          <w:p>
            <w:pPr>
              <w:pStyle w:val="26"/>
              <w:spacing w:line="240" w:lineRule="auto"/>
              <w:ind w:firstLine="0" w:firstLineChars="0"/>
              <w:jc w:val="center"/>
              <w:outlineLvl w:val="9"/>
              <w:rPr>
                <w:sz w:val="21"/>
                <w:szCs w:val="21"/>
                <w:lang w:val="en-US" w:eastAsia="zh-CN"/>
              </w:rPr>
            </w:pPr>
            <w:r>
              <w:rPr>
                <w:sz w:val="21"/>
                <w:szCs w:val="21"/>
                <w:lang w:val="en-US" w:eastAsia="zh-CN"/>
              </w:rPr>
              <w:t>/</w:t>
            </w:r>
          </w:p>
        </w:tc>
        <w:tc>
          <w:tcPr>
            <w:tcW w:w="1300" w:type="pct"/>
            <w:noWrap w:val="0"/>
            <w:vAlign w:val="center"/>
          </w:tcPr>
          <w:p>
            <w:pPr>
              <w:pStyle w:val="26"/>
              <w:spacing w:line="240" w:lineRule="auto"/>
              <w:ind w:firstLine="0" w:firstLineChars="0"/>
              <w:jc w:val="center"/>
              <w:outlineLvl w:val="9"/>
              <w:rPr>
                <w:sz w:val="21"/>
                <w:szCs w:val="21"/>
                <w:lang w:val="en-US" w:eastAsia="zh-CN"/>
              </w:rPr>
            </w:pPr>
            <w:r>
              <w:rPr>
                <w:sz w:val="21"/>
                <w:szCs w:val="21"/>
                <w:lang w:val="en-US" w:eastAsia="zh-CN"/>
              </w:rPr>
              <w:t>室外与卧室之间、分户墙（楼板）两侧卧室之间的空气声隔声性能以及卧室楼板的撞击声隔声性能达到低限标准限值和高要求标准限值的平均值</w:t>
            </w:r>
          </w:p>
        </w:tc>
        <w:tc>
          <w:tcPr>
            <w:tcW w:w="1244" w:type="pct"/>
            <w:noWrap w:val="0"/>
            <w:vAlign w:val="center"/>
          </w:tcPr>
          <w:p>
            <w:pPr>
              <w:pStyle w:val="26"/>
              <w:spacing w:line="240" w:lineRule="auto"/>
              <w:ind w:firstLine="0" w:firstLineChars="0"/>
              <w:jc w:val="center"/>
              <w:outlineLvl w:val="9"/>
              <w:rPr>
                <w:sz w:val="21"/>
                <w:szCs w:val="21"/>
                <w:lang w:val="en-US" w:eastAsia="zh-CN"/>
              </w:rPr>
            </w:pPr>
            <w:r>
              <w:rPr>
                <w:sz w:val="21"/>
                <w:szCs w:val="21"/>
                <w:lang w:val="en-US" w:eastAsia="zh-CN"/>
              </w:rPr>
              <w:t>室外与卧室之间、分户墙（楼板）两侧卧室之间的空气声隔声性能以及卧室楼板的撞击声隔声性能达到高要求标准限值</w:t>
            </w:r>
          </w:p>
        </w:tc>
      </w:tr>
      <w:bookmarkEnd w:id="95"/>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1266" w:type="pct"/>
            <w:noWrap w:val="0"/>
            <w:vAlign w:val="center"/>
          </w:tcPr>
          <w:p>
            <w:pPr>
              <w:pStyle w:val="26"/>
              <w:spacing w:line="240" w:lineRule="auto"/>
              <w:ind w:firstLine="0" w:firstLineChars="0"/>
              <w:jc w:val="center"/>
              <w:outlineLvl w:val="9"/>
              <w:rPr>
                <w:sz w:val="21"/>
                <w:szCs w:val="21"/>
                <w:lang w:val="en-US" w:eastAsia="zh-CN"/>
              </w:rPr>
            </w:pPr>
            <w:r>
              <w:rPr>
                <w:sz w:val="21"/>
                <w:szCs w:val="21"/>
                <w:lang w:val="en-US" w:eastAsia="zh-CN"/>
              </w:rPr>
              <w:t>室内主要空气污染物浓度降低比例</w:t>
            </w:r>
          </w:p>
        </w:tc>
        <w:tc>
          <w:tcPr>
            <w:tcW w:w="1190" w:type="pct"/>
            <w:noWrap w:val="0"/>
            <w:vAlign w:val="center"/>
          </w:tcPr>
          <w:p>
            <w:pPr>
              <w:pStyle w:val="26"/>
              <w:spacing w:line="240" w:lineRule="auto"/>
              <w:ind w:firstLine="0" w:firstLineChars="0"/>
              <w:jc w:val="center"/>
              <w:outlineLvl w:val="9"/>
              <w:rPr>
                <w:sz w:val="21"/>
                <w:szCs w:val="21"/>
                <w:lang w:val="en-US" w:eastAsia="zh-CN"/>
              </w:rPr>
            </w:pPr>
            <w:r>
              <w:rPr>
                <w:sz w:val="21"/>
                <w:szCs w:val="21"/>
                <w:lang w:val="en-US" w:eastAsia="zh-CN"/>
              </w:rPr>
              <w:t>10%</w:t>
            </w:r>
          </w:p>
        </w:tc>
        <w:tc>
          <w:tcPr>
            <w:tcW w:w="2544" w:type="pct"/>
            <w:gridSpan w:val="2"/>
            <w:noWrap w:val="0"/>
            <w:vAlign w:val="center"/>
          </w:tcPr>
          <w:p>
            <w:pPr>
              <w:pStyle w:val="26"/>
              <w:spacing w:line="240" w:lineRule="auto"/>
              <w:ind w:firstLine="0" w:firstLineChars="0"/>
              <w:jc w:val="center"/>
              <w:outlineLvl w:val="9"/>
              <w:rPr>
                <w:sz w:val="21"/>
                <w:szCs w:val="21"/>
                <w:lang w:val="en-US" w:eastAsia="zh-CN"/>
              </w:rPr>
            </w:pPr>
            <w:r>
              <w:rPr>
                <w:sz w:val="21"/>
                <w:szCs w:val="21"/>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429" w:hRule="atLeast"/>
          <w:jc w:val="center"/>
        </w:trPr>
        <w:tc>
          <w:tcPr>
            <w:tcW w:w="1266" w:type="pct"/>
            <w:noWrap w:val="0"/>
            <w:vAlign w:val="center"/>
          </w:tcPr>
          <w:p>
            <w:pPr>
              <w:pStyle w:val="26"/>
              <w:spacing w:line="240" w:lineRule="auto"/>
              <w:ind w:firstLine="0" w:firstLineChars="0"/>
              <w:jc w:val="center"/>
              <w:outlineLvl w:val="9"/>
              <w:rPr>
                <w:sz w:val="21"/>
                <w:szCs w:val="21"/>
                <w:lang w:val="en-US" w:eastAsia="zh-CN"/>
              </w:rPr>
            </w:pPr>
            <w:r>
              <w:rPr>
                <w:sz w:val="21"/>
                <w:szCs w:val="21"/>
                <w:lang w:val="en-US" w:eastAsia="zh-CN"/>
              </w:rPr>
              <w:t>外窗气密性能</w:t>
            </w:r>
          </w:p>
        </w:tc>
        <w:tc>
          <w:tcPr>
            <w:tcW w:w="3734" w:type="pct"/>
            <w:gridSpan w:val="3"/>
            <w:noWrap w:val="0"/>
            <w:vAlign w:val="center"/>
          </w:tcPr>
          <w:p>
            <w:pPr>
              <w:pStyle w:val="26"/>
              <w:spacing w:line="240" w:lineRule="auto"/>
              <w:ind w:firstLine="0" w:firstLineChars="0"/>
              <w:jc w:val="left"/>
              <w:outlineLvl w:val="9"/>
              <w:rPr>
                <w:sz w:val="21"/>
                <w:szCs w:val="21"/>
                <w:lang w:val="en-US" w:eastAsia="zh-CN"/>
              </w:rPr>
            </w:pPr>
            <w:r>
              <w:rPr>
                <w:sz w:val="21"/>
                <w:szCs w:val="21"/>
                <w:lang w:val="en-US" w:eastAsia="zh-CN"/>
              </w:rPr>
              <w:t>符合国家现行相关节能设计标准的规定，且外窗洞口与外窗本体的结合部位应严密</w:t>
            </w:r>
          </w:p>
        </w:tc>
      </w:tr>
      <w:bookmarkEnd w:id="94"/>
    </w:tbl>
    <w:p>
      <w:pPr>
        <w:pStyle w:val="26"/>
        <w:spacing w:line="240" w:lineRule="auto"/>
        <w:ind w:left="630" w:hanging="630" w:hangingChars="300"/>
        <w:outlineLvl w:val="9"/>
        <w:rPr>
          <w:sz w:val="21"/>
          <w:szCs w:val="21"/>
        </w:rPr>
      </w:pPr>
      <w:r>
        <w:rPr>
          <w:sz w:val="21"/>
          <w:szCs w:val="21"/>
        </w:rPr>
        <w:t>注：1 围护结构热工性能的提高基准</w:t>
      </w:r>
      <w:r>
        <w:rPr>
          <w:rFonts w:hint="eastAsia"/>
          <w:sz w:val="21"/>
          <w:szCs w:val="21"/>
        </w:rPr>
        <w:t>应</w:t>
      </w:r>
      <w:r>
        <w:rPr>
          <w:sz w:val="21"/>
          <w:szCs w:val="21"/>
        </w:rPr>
        <w:t>为国家</w:t>
      </w:r>
      <w:r>
        <w:rPr>
          <w:rFonts w:hint="eastAsia"/>
          <w:sz w:val="21"/>
          <w:szCs w:val="21"/>
        </w:rPr>
        <w:t>和地方</w:t>
      </w:r>
      <w:r>
        <w:rPr>
          <w:sz w:val="21"/>
          <w:szCs w:val="21"/>
        </w:rPr>
        <w:t>现行相关建筑节能设计标准的要求。</w:t>
      </w:r>
    </w:p>
    <w:p>
      <w:pPr>
        <w:pStyle w:val="26"/>
        <w:spacing w:line="240" w:lineRule="auto"/>
        <w:ind w:firstLine="420"/>
        <w:outlineLvl w:val="9"/>
        <w:rPr>
          <w:rFonts w:hint="eastAsia"/>
          <w:sz w:val="21"/>
          <w:szCs w:val="21"/>
        </w:rPr>
      </w:pPr>
      <w:r>
        <w:rPr>
          <w:sz w:val="21"/>
          <w:szCs w:val="21"/>
        </w:rPr>
        <w:t>2 住宅建筑隔声性能对应的标准为现行国家标准《民用建筑隔声设计规范》GB 50118。</w:t>
      </w:r>
    </w:p>
    <w:p>
      <w:pPr>
        <w:pStyle w:val="26"/>
        <w:spacing w:line="240" w:lineRule="auto"/>
        <w:ind w:left="630" w:leftChars="200" w:hanging="210" w:hangingChars="100"/>
        <w:outlineLvl w:val="9"/>
        <w:rPr>
          <w:sz w:val="21"/>
          <w:szCs w:val="21"/>
        </w:rPr>
        <w:sectPr>
          <w:type w:val="continuous"/>
          <w:pgSz w:w="11907" w:h="16839"/>
          <w:pgMar w:top="851" w:right="907" w:bottom="851" w:left="1418" w:header="851" w:footer="851" w:gutter="0"/>
          <w:cols w:space="720" w:num="1"/>
          <w:docGrid w:type="lines" w:linePitch="312" w:charSpace="0"/>
        </w:sectPr>
      </w:pPr>
      <w:r>
        <w:rPr>
          <w:sz w:val="21"/>
          <w:szCs w:val="21"/>
        </w:rPr>
        <w:t>3 室内主要空气污染物包括氨、甲醛、苯、总挥发性有机物、氡、可吸入颗粒物等，其浓度降低基准为现行国家标准《室内空气质量标准》GB/T 18883的有关要求。</w:t>
      </w:r>
    </w:p>
    <w:p>
      <w:pPr>
        <w:pStyle w:val="26"/>
        <w:spacing w:line="240" w:lineRule="auto"/>
        <w:ind w:firstLine="0" w:firstLineChars="0"/>
        <w:outlineLvl w:val="9"/>
        <w:rPr>
          <w:sz w:val="21"/>
          <w:szCs w:val="21"/>
        </w:rPr>
        <w:sectPr>
          <w:pgSz w:w="11907" w:h="16839"/>
          <w:pgMar w:top="851" w:right="907" w:bottom="851" w:left="1418" w:header="851" w:footer="851" w:gutter="0"/>
          <w:cols w:space="720" w:num="1"/>
          <w:docGrid w:type="lines" w:linePitch="312" w:charSpace="0"/>
        </w:sectPr>
      </w:pPr>
    </w:p>
    <w:p>
      <w:pPr>
        <w:jc w:val="center"/>
        <w:outlineLvl w:val="0"/>
        <w:rPr>
          <w:b/>
          <w:sz w:val="32"/>
          <w:szCs w:val="32"/>
        </w:rPr>
      </w:pPr>
      <w:bookmarkStart w:id="96" w:name="_Toc24542988"/>
      <w:r>
        <w:rPr>
          <w:rFonts w:hint="eastAsia"/>
          <w:b/>
          <w:sz w:val="32"/>
          <w:szCs w:val="32"/>
        </w:rPr>
        <w:t>4 安 全 耐 久</w:t>
      </w:r>
      <w:bookmarkEnd w:id="96"/>
    </w:p>
    <w:p>
      <w:pPr>
        <w:rPr>
          <w:rFonts w:hint="eastAsia"/>
        </w:rPr>
      </w:pPr>
    </w:p>
    <w:p>
      <w:pPr>
        <w:spacing w:line="360" w:lineRule="auto"/>
        <w:ind w:left="435" w:leftChars="150" w:hanging="120" w:hangingChars="50"/>
        <w:jc w:val="center"/>
        <w:outlineLvl w:val="1"/>
        <w:rPr>
          <w:rFonts w:hint="eastAsia" w:eastAsia="黑体"/>
          <w:b/>
          <w:sz w:val="24"/>
          <w:szCs w:val="24"/>
        </w:rPr>
      </w:pPr>
      <w:bookmarkStart w:id="97" w:name="_Toc24542989"/>
      <w:r>
        <w:rPr>
          <w:rFonts w:hint="eastAsia" w:eastAsia="黑体"/>
          <w:b/>
          <w:sz w:val="24"/>
          <w:szCs w:val="24"/>
        </w:rPr>
        <w:t>4.1 控 制 项</w:t>
      </w:r>
      <w:bookmarkEnd w:id="97"/>
    </w:p>
    <w:p>
      <w:pPr>
        <w:rPr>
          <w:rFonts w:eastAsia="黑体"/>
          <w:b/>
          <w:sz w:val="24"/>
          <w:szCs w:val="24"/>
        </w:rPr>
      </w:pPr>
    </w:p>
    <w:p>
      <w:pPr>
        <w:spacing w:line="360" w:lineRule="auto"/>
        <w:outlineLvl w:val="2"/>
        <w:rPr>
          <w:sz w:val="24"/>
          <w:szCs w:val="24"/>
        </w:rPr>
      </w:pPr>
      <w:r>
        <w:rPr>
          <w:b/>
          <w:sz w:val="24"/>
          <w:szCs w:val="24"/>
        </w:rPr>
        <w:t>4.1.1</w:t>
      </w:r>
      <w:r>
        <w:rPr>
          <w:rFonts w:hint="eastAsia"/>
          <w:sz w:val="24"/>
          <w:szCs w:val="24"/>
        </w:rPr>
        <w:t xml:space="preserve">  场地应避开滑坡、泥石流等地质危险地段，易发生洪涝地区应有可靠的防洪涝基础设施；场地应无危险化学品、易燃易爆危险源的威胁，应无电磁辐射、含氡土壤的危害。</w:t>
      </w:r>
    </w:p>
    <w:p>
      <w:pPr>
        <w:spacing w:line="360" w:lineRule="auto"/>
        <w:outlineLvl w:val="2"/>
        <w:rPr>
          <w:sz w:val="24"/>
          <w:szCs w:val="24"/>
        </w:rPr>
      </w:pPr>
      <w:r>
        <w:rPr>
          <w:b/>
          <w:sz w:val="24"/>
          <w:szCs w:val="24"/>
        </w:rPr>
        <w:t>4.1.2</w:t>
      </w:r>
      <w:r>
        <w:rPr>
          <w:rFonts w:hint="eastAsia"/>
          <w:sz w:val="24"/>
          <w:szCs w:val="24"/>
        </w:rPr>
        <w:t xml:space="preserve">  建筑结构应满足承载力和建筑使用功能要求。建筑外墙、屋面、门窗、幕墙及外保温等围护结构应满足安全、耐久和防护的要求。</w:t>
      </w:r>
    </w:p>
    <w:p>
      <w:pPr>
        <w:spacing w:line="360" w:lineRule="auto"/>
        <w:outlineLvl w:val="2"/>
        <w:rPr>
          <w:sz w:val="24"/>
          <w:szCs w:val="24"/>
        </w:rPr>
      </w:pPr>
      <w:r>
        <w:rPr>
          <w:b/>
          <w:sz w:val="24"/>
          <w:szCs w:val="24"/>
        </w:rPr>
        <w:t>4.1.3</w:t>
      </w:r>
      <w:r>
        <w:rPr>
          <w:rFonts w:hint="eastAsia"/>
          <w:sz w:val="24"/>
          <w:szCs w:val="24"/>
        </w:rPr>
        <w:t xml:space="preserve">  外遮阳、太阳能设施、空调室外机位、外墙花池等外部设施应与建筑主体结构统一设计、施工，并应具备安装、检修与维护条件。</w:t>
      </w:r>
    </w:p>
    <w:p>
      <w:pPr>
        <w:spacing w:line="360" w:lineRule="auto"/>
        <w:outlineLvl w:val="2"/>
        <w:rPr>
          <w:sz w:val="24"/>
          <w:szCs w:val="24"/>
        </w:rPr>
      </w:pPr>
      <w:r>
        <w:rPr>
          <w:b/>
          <w:sz w:val="24"/>
          <w:szCs w:val="24"/>
        </w:rPr>
        <w:t>4.1.4</w:t>
      </w:r>
      <w:r>
        <w:rPr>
          <w:sz w:val="24"/>
          <w:szCs w:val="24"/>
        </w:rPr>
        <w:t xml:space="preserve"> </w:t>
      </w:r>
      <w:r>
        <w:rPr>
          <w:rFonts w:hint="eastAsia"/>
          <w:sz w:val="24"/>
          <w:szCs w:val="24"/>
        </w:rPr>
        <w:t xml:space="preserve"> 建筑内部的非结构构件、设备及附属设施等应连接牢固并能适应主体结构变形。</w:t>
      </w:r>
    </w:p>
    <w:p>
      <w:pPr>
        <w:spacing w:line="360" w:lineRule="auto"/>
        <w:outlineLvl w:val="2"/>
        <w:rPr>
          <w:sz w:val="24"/>
          <w:szCs w:val="24"/>
        </w:rPr>
      </w:pPr>
      <w:r>
        <w:rPr>
          <w:b/>
          <w:sz w:val="24"/>
          <w:szCs w:val="24"/>
        </w:rPr>
        <w:t>4.1.5</w:t>
      </w:r>
      <w:r>
        <w:rPr>
          <w:rFonts w:hint="eastAsia"/>
          <w:b/>
          <w:sz w:val="24"/>
          <w:szCs w:val="24"/>
        </w:rPr>
        <w:t xml:space="preserve"> </w:t>
      </w:r>
      <w:r>
        <w:rPr>
          <w:rFonts w:hint="eastAsia"/>
          <w:sz w:val="24"/>
          <w:szCs w:val="24"/>
        </w:rPr>
        <w:t xml:space="preserve"> 建筑外门窗必须安装牢固，其抗风压性能、水密性能应符合国家现行有关标准的规定。</w:t>
      </w:r>
    </w:p>
    <w:p>
      <w:pPr>
        <w:spacing w:line="360" w:lineRule="auto"/>
        <w:outlineLvl w:val="2"/>
        <w:rPr>
          <w:sz w:val="24"/>
          <w:szCs w:val="24"/>
        </w:rPr>
      </w:pPr>
      <w:r>
        <w:rPr>
          <w:b/>
          <w:sz w:val="24"/>
          <w:szCs w:val="24"/>
        </w:rPr>
        <w:t>4.1.6</w:t>
      </w:r>
      <w:r>
        <w:rPr>
          <w:rFonts w:hint="eastAsia"/>
          <w:b/>
          <w:sz w:val="24"/>
          <w:szCs w:val="24"/>
        </w:rPr>
        <w:t xml:space="preserve">  </w:t>
      </w:r>
      <w:r>
        <w:rPr>
          <w:rFonts w:hint="eastAsia"/>
          <w:sz w:val="24"/>
          <w:szCs w:val="24"/>
        </w:rPr>
        <w:t>卫生间、浴室的地面应设置防水层，墙面、顶棚应设置防潮层。</w:t>
      </w:r>
    </w:p>
    <w:p>
      <w:pPr>
        <w:spacing w:line="360" w:lineRule="auto"/>
        <w:outlineLvl w:val="2"/>
        <w:rPr>
          <w:sz w:val="24"/>
          <w:szCs w:val="24"/>
        </w:rPr>
      </w:pPr>
      <w:r>
        <w:rPr>
          <w:b/>
          <w:sz w:val="24"/>
          <w:szCs w:val="24"/>
        </w:rPr>
        <w:t>4.1.7</w:t>
      </w:r>
      <w:r>
        <w:rPr>
          <w:rFonts w:hint="eastAsia"/>
          <w:b/>
          <w:sz w:val="24"/>
          <w:szCs w:val="24"/>
        </w:rPr>
        <w:t xml:space="preserve">  </w:t>
      </w:r>
      <w:r>
        <w:rPr>
          <w:rFonts w:hint="eastAsia"/>
          <w:sz w:val="24"/>
          <w:szCs w:val="24"/>
        </w:rPr>
        <w:t>走廊、疏散通道等通行空间应满足紧急疏散、应急救护等要求，且应保持畅通。</w:t>
      </w:r>
    </w:p>
    <w:p>
      <w:pPr>
        <w:spacing w:line="360" w:lineRule="auto"/>
        <w:outlineLvl w:val="2"/>
        <w:rPr>
          <w:rFonts w:hint="eastAsia"/>
          <w:sz w:val="24"/>
          <w:szCs w:val="24"/>
        </w:rPr>
      </w:pPr>
      <w:r>
        <w:rPr>
          <w:b/>
          <w:sz w:val="24"/>
          <w:szCs w:val="24"/>
        </w:rPr>
        <w:t>4.1.8</w:t>
      </w:r>
      <w:r>
        <w:rPr>
          <w:rFonts w:hint="eastAsia"/>
          <w:b/>
          <w:sz w:val="24"/>
          <w:szCs w:val="24"/>
        </w:rPr>
        <w:t xml:space="preserve">  </w:t>
      </w:r>
      <w:r>
        <w:rPr>
          <w:rFonts w:hint="eastAsia"/>
          <w:sz w:val="24"/>
          <w:szCs w:val="24"/>
        </w:rPr>
        <w:t>应具有安全防护的警示和引导标识系统。</w:t>
      </w:r>
    </w:p>
    <w:p>
      <w:pPr>
        <w:spacing w:line="360" w:lineRule="auto"/>
        <w:outlineLvl w:val="2"/>
        <w:rPr>
          <w:rFonts w:hint="eastAsia"/>
          <w:sz w:val="24"/>
          <w:szCs w:val="24"/>
        </w:rPr>
      </w:pPr>
      <w:r>
        <w:rPr>
          <w:rFonts w:hint="eastAsia"/>
          <w:b/>
          <w:bCs/>
          <w:sz w:val="24"/>
          <w:szCs w:val="24"/>
        </w:rPr>
        <w:t xml:space="preserve">4.1.9  </w:t>
      </w:r>
      <w:r>
        <w:rPr>
          <w:rFonts w:hint="eastAsia"/>
          <w:sz w:val="24"/>
          <w:szCs w:val="24"/>
        </w:rPr>
        <w:t>不得采用国家和地方禁止和限制使用的建筑材料及制品。</w:t>
      </w:r>
    </w:p>
    <w:p/>
    <w:p>
      <w:pPr>
        <w:spacing w:line="360" w:lineRule="auto"/>
        <w:ind w:left="435" w:leftChars="150" w:hanging="120" w:hangingChars="50"/>
        <w:jc w:val="center"/>
        <w:outlineLvl w:val="1"/>
        <w:rPr>
          <w:rFonts w:eastAsia="黑体"/>
          <w:b/>
          <w:sz w:val="24"/>
          <w:szCs w:val="24"/>
        </w:rPr>
      </w:pPr>
      <w:bookmarkStart w:id="98" w:name="_Toc24542990"/>
      <w:r>
        <w:rPr>
          <w:rFonts w:hint="eastAsia" w:eastAsia="黑体"/>
          <w:b/>
          <w:sz w:val="24"/>
          <w:szCs w:val="24"/>
        </w:rPr>
        <w:t>4.2 评 分 项</w:t>
      </w:r>
      <w:bookmarkEnd w:id="98"/>
    </w:p>
    <w:p>
      <w:pPr>
        <w:spacing w:line="360" w:lineRule="auto"/>
        <w:ind w:left="435" w:leftChars="150" w:hanging="120" w:hangingChars="50"/>
        <w:jc w:val="center"/>
        <w:rPr>
          <w:rFonts w:eastAsia="仿宋"/>
          <w:b/>
          <w:sz w:val="24"/>
          <w:szCs w:val="24"/>
        </w:rPr>
      </w:pPr>
      <w:r>
        <w:rPr>
          <w:rFonts w:hint="eastAsia" w:eastAsia="仿宋"/>
          <w:b/>
          <w:sz w:val="24"/>
          <w:szCs w:val="24"/>
        </w:rPr>
        <w:t>I 安全</w:t>
      </w:r>
    </w:p>
    <w:p>
      <w:pPr>
        <w:spacing w:line="360" w:lineRule="auto"/>
        <w:outlineLvl w:val="2"/>
        <w:rPr>
          <w:sz w:val="24"/>
          <w:szCs w:val="24"/>
        </w:rPr>
      </w:pPr>
      <w:r>
        <w:rPr>
          <w:b/>
          <w:sz w:val="24"/>
          <w:szCs w:val="24"/>
        </w:rPr>
        <w:t>4.2.1</w:t>
      </w:r>
      <w:r>
        <w:rPr>
          <w:rFonts w:hint="eastAsia"/>
          <w:b/>
          <w:sz w:val="24"/>
          <w:szCs w:val="24"/>
        </w:rPr>
        <w:t xml:space="preserve">  </w:t>
      </w:r>
      <w:r>
        <w:rPr>
          <w:rFonts w:hint="eastAsia"/>
          <w:sz w:val="24"/>
          <w:szCs w:val="24"/>
        </w:rPr>
        <w:t>采用基于性能的抗震设计并合理提高建筑的抗震性能，评价分值为10分。</w:t>
      </w:r>
    </w:p>
    <w:p>
      <w:pPr>
        <w:spacing w:line="360" w:lineRule="auto"/>
        <w:outlineLvl w:val="2"/>
        <w:rPr>
          <w:sz w:val="24"/>
          <w:szCs w:val="24"/>
        </w:rPr>
      </w:pPr>
      <w:r>
        <w:rPr>
          <w:b/>
          <w:sz w:val="24"/>
          <w:szCs w:val="24"/>
        </w:rPr>
        <w:t>4.2.2</w:t>
      </w:r>
      <w:r>
        <w:rPr>
          <w:rFonts w:hint="eastAsia"/>
          <w:b/>
          <w:sz w:val="24"/>
          <w:szCs w:val="24"/>
        </w:rPr>
        <w:t xml:space="preserve">  </w:t>
      </w:r>
      <w:r>
        <w:rPr>
          <w:rFonts w:hint="eastAsia"/>
          <w:sz w:val="24"/>
          <w:szCs w:val="24"/>
        </w:rPr>
        <w:t>采取保障人员安全的防护措施，评价总分值为15分，并按下列规则分别评分并累计：</w:t>
      </w:r>
    </w:p>
    <w:p>
      <w:pPr>
        <w:spacing w:line="360" w:lineRule="auto"/>
        <w:ind w:firstLine="482" w:firstLineChars="200"/>
        <w:rPr>
          <w:sz w:val="24"/>
          <w:szCs w:val="24"/>
        </w:rPr>
      </w:pPr>
      <w:r>
        <w:rPr>
          <w:b/>
          <w:sz w:val="24"/>
          <w:szCs w:val="24"/>
        </w:rPr>
        <w:t>1</w:t>
      </w:r>
      <w:r>
        <w:rPr>
          <w:rFonts w:hint="eastAsia"/>
          <w:sz w:val="24"/>
          <w:szCs w:val="24"/>
        </w:rPr>
        <w:t xml:space="preserve"> 采取措施提高阳台、外窗、窗台、防护栏杆等安全防护水平，得5 分；</w:t>
      </w:r>
    </w:p>
    <w:p>
      <w:pPr>
        <w:spacing w:line="360" w:lineRule="auto"/>
        <w:ind w:firstLine="482" w:firstLineChars="200"/>
        <w:rPr>
          <w:sz w:val="24"/>
          <w:szCs w:val="24"/>
        </w:rPr>
      </w:pPr>
      <w:r>
        <w:rPr>
          <w:b/>
          <w:sz w:val="24"/>
          <w:szCs w:val="24"/>
        </w:rPr>
        <w:t>2</w:t>
      </w:r>
      <w:r>
        <w:rPr>
          <w:rFonts w:hint="eastAsia"/>
          <w:sz w:val="24"/>
          <w:szCs w:val="24"/>
        </w:rPr>
        <w:t xml:space="preserve"> 建筑物出入口均设外墙饰面、门窗玻璃意外脱落的防护措施，并与人员通行区域的遮阳、遮风或挡雨措施结合，得5分；</w:t>
      </w:r>
    </w:p>
    <w:p>
      <w:pPr>
        <w:spacing w:line="360" w:lineRule="auto"/>
        <w:ind w:firstLine="482" w:firstLineChars="200"/>
        <w:rPr>
          <w:sz w:val="24"/>
          <w:szCs w:val="24"/>
        </w:rPr>
      </w:pPr>
      <w:r>
        <w:rPr>
          <w:b/>
          <w:sz w:val="24"/>
          <w:szCs w:val="24"/>
        </w:rPr>
        <w:t>3</w:t>
      </w:r>
      <w:r>
        <w:rPr>
          <w:sz w:val="24"/>
          <w:szCs w:val="24"/>
        </w:rPr>
        <w:t xml:space="preserve"> </w:t>
      </w:r>
      <w:r>
        <w:rPr>
          <w:rFonts w:hint="eastAsia"/>
          <w:sz w:val="24"/>
          <w:szCs w:val="24"/>
        </w:rPr>
        <w:t>利用场地或景观形成可降低坠物风险的缓冲区、隔离带，得5分。</w:t>
      </w:r>
    </w:p>
    <w:p>
      <w:pPr>
        <w:spacing w:line="360" w:lineRule="auto"/>
        <w:outlineLvl w:val="2"/>
        <w:rPr>
          <w:sz w:val="24"/>
          <w:szCs w:val="24"/>
        </w:rPr>
      </w:pPr>
      <w:r>
        <w:rPr>
          <w:b/>
          <w:sz w:val="24"/>
          <w:szCs w:val="24"/>
        </w:rPr>
        <w:t>4.2.3</w:t>
      </w:r>
      <w:r>
        <w:rPr>
          <w:rFonts w:hint="eastAsia"/>
          <w:b/>
          <w:sz w:val="24"/>
          <w:szCs w:val="24"/>
        </w:rPr>
        <w:t xml:space="preserve">  </w:t>
      </w:r>
      <w:r>
        <w:rPr>
          <w:rFonts w:hint="eastAsia"/>
          <w:sz w:val="24"/>
          <w:szCs w:val="24"/>
        </w:rPr>
        <w:t>采用具有安全防护功能的产品或配件，评价总分值为10分，并按下列规则分别评分并累计：</w:t>
      </w:r>
    </w:p>
    <w:p>
      <w:pPr>
        <w:spacing w:line="360" w:lineRule="auto"/>
        <w:ind w:firstLine="482" w:firstLineChars="200"/>
        <w:rPr>
          <w:sz w:val="24"/>
          <w:szCs w:val="24"/>
        </w:rPr>
      </w:pPr>
      <w:r>
        <w:rPr>
          <w:b/>
          <w:sz w:val="24"/>
          <w:szCs w:val="24"/>
        </w:rPr>
        <w:t>1</w:t>
      </w:r>
      <w:r>
        <w:rPr>
          <w:rFonts w:hint="eastAsia"/>
          <w:sz w:val="24"/>
          <w:szCs w:val="24"/>
        </w:rPr>
        <w:t xml:space="preserve"> 采用具有安全防护功能的玻璃，得5 分；</w:t>
      </w:r>
    </w:p>
    <w:p>
      <w:pPr>
        <w:spacing w:line="360" w:lineRule="auto"/>
        <w:ind w:firstLine="482" w:firstLineChars="200"/>
        <w:rPr>
          <w:sz w:val="24"/>
          <w:szCs w:val="24"/>
        </w:rPr>
      </w:pPr>
      <w:r>
        <w:rPr>
          <w:b/>
          <w:sz w:val="24"/>
          <w:szCs w:val="24"/>
        </w:rPr>
        <w:t>2</w:t>
      </w:r>
      <w:r>
        <w:rPr>
          <w:rFonts w:hint="eastAsia"/>
          <w:sz w:val="24"/>
          <w:szCs w:val="24"/>
        </w:rPr>
        <w:t xml:space="preserve"> 采用具备防夹功能的门窗，得5 分。</w:t>
      </w:r>
    </w:p>
    <w:p>
      <w:pPr>
        <w:spacing w:line="360" w:lineRule="auto"/>
        <w:outlineLvl w:val="2"/>
        <w:rPr>
          <w:sz w:val="24"/>
          <w:szCs w:val="24"/>
        </w:rPr>
      </w:pPr>
      <w:r>
        <w:rPr>
          <w:b/>
          <w:sz w:val="24"/>
          <w:szCs w:val="24"/>
        </w:rPr>
        <w:t>4.2.4</w:t>
      </w:r>
      <w:r>
        <w:rPr>
          <w:rFonts w:hint="eastAsia"/>
          <w:b/>
          <w:sz w:val="24"/>
          <w:szCs w:val="24"/>
        </w:rPr>
        <w:t xml:space="preserve">  </w:t>
      </w:r>
      <w:r>
        <w:rPr>
          <w:rFonts w:hint="eastAsia"/>
          <w:sz w:val="24"/>
          <w:szCs w:val="24"/>
        </w:rPr>
        <w:t>室内外地面或路面设置防滑措施，评价总分值为10分，并按下列规则分别评分并累计：</w:t>
      </w:r>
    </w:p>
    <w:p>
      <w:pPr>
        <w:spacing w:line="360" w:lineRule="auto"/>
        <w:ind w:firstLine="482" w:firstLineChars="200"/>
        <w:rPr>
          <w:sz w:val="24"/>
          <w:szCs w:val="24"/>
        </w:rPr>
      </w:pPr>
      <w:r>
        <w:rPr>
          <w:b/>
          <w:sz w:val="24"/>
          <w:szCs w:val="24"/>
        </w:rPr>
        <w:t>1</w:t>
      </w:r>
      <w:r>
        <w:rPr>
          <w:rFonts w:hint="eastAsia"/>
          <w:sz w:val="24"/>
          <w:szCs w:val="24"/>
        </w:rPr>
        <w:t xml:space="preserve"> 建筑出入口及平台、公共走廊、电梯门厅、厨房、浴室、卫生间等设置防滑措施，防滑等级不低于现行行业标准《建筑地面工程防滑技术规程》JGJ/T331规定的B</w:t>
      </w:r>
      <w:r>
        <w:rPr>
          <w:rFonts w:hint="eastAsia"/>
          <w:sz w:val="24"/>
          <w:szCs w:val="24"/>
          <w:vertAlign w:val="subscript"/>
        </w:rPr>
        <w:t>d</w:t>
      </w:r>
      <w:r>
        <w:rPr>
          <w:rFonts w:hint="eastAsia"/>
          <w:sz w:val="24"/>
          <w:szCs w:val="24"/>
        </w:rPr>
        <w:t>、B</w:t>
      </w:r>
      <w:r>
        <w:rPr>
          <w:rFonts w:hint="eastAsia"/>
          <w:sz w:val="24"/>
          <w:szCs w:val="24"/>
          <w:vertAlign w:val="subscript"/>
        </w:rPr>
        <w:t>w</w:t>
      </w:r>
      <w:r>
        <w:rPr>
          <w:rFonts w:hint="eastAsia"/>
          <w:sz w:val="24"/>
          <w:szCs w:val="24"/>
        </w:rPr>
        <w:t>级，得3分；</w:t>
      </w:r>
    </w:p>
    <w:p>
      <w:pPr>
        <w:spacing w:line="360" w:lineRule="auto"/>
        <w:ind w:firstLine="482" w:firstLineChars="200"/>
        <w:rPr>
          <w:sz w:val="24"/>
          <w:szCs w:val="24"/>
        </w:rPr>
      </w:pPr>
      <w:r>
        <w:rPr>
          <w:b/>
          <w:sz w:val="24"/>
          <w:szCs w:val="24"/>
        </w:rPr>
        <w:t>2</w:t>
      </w:r>
      <w:r>
        <w:rPr>
          <w:rFonts w:hint="eastAsia"/>
          <w:sz w:val="24"/>
          <w:szCs w:val="24"/>
        </w:rPr>
        <w:t xml:space="preserve"> 建筑室内外活动场所采用防滑地面，防滑等级达到现行行业标准《建筑地面工程防滑技术规程》JGJ/T331规定的A</w:t>
      </w:r>
      <w:r>
        <w:rPr>
          <w:rFonts w:hint="eastAsia"/>
          <w:sz w:val="24"/>
          <w:szCs w:val="24"/>
          <w:vertAlign w:val="subscript"/>
        </w:rPr>
        <w:t>d</w:t>
      </w:r>
      <w:r>
        <w:rPr>
          <w:rFonts w:hint="eastAsia"/>
          <w:sz w:val="24"/>
          <w:szCs w:val="24"/>
        </w:rPr>
        <w:t>、A</w:t>
      </w:r>
      <w:r>
        <w:rPr>
          <w:rFonts w:hint="eastAsia"/>
          <w:sz w:val="24"/>
          <w:szCs w:val="24"/>
          <w:vertAlign w:val="subscript"/>
        </w:rPr>
        <w:t>w</w:t>
      </w:r>
      <w:r>
        <w:rPr>
          <w:rFonts w:hint="eastAsia"/>
          <w:sz w:val="24"/>
          <w:szCs w:val="24"/>
        </w:rPr>
        <w:t>级，得4分；</w:t>
      </w:r>
    </w:p>
    <w:p>
      <w:pPr>
        <w:spacing w:line="360" w:lineRule="auto"/>
        <w:ind w:firstLine="482" w:firstLineChars="200"/>
        <w:rPr>
          <w:sz w:val="24"/>
          <w:szCs w:val="24"/>
        </w:rPr>
      </w:pPr>
      <w:r>
        <w:rPr>
          <w:b/>
          <w:sz w:val="24"/>
          <w:szCs w:val="24"/>
        </w:rPr>
        <w:t>3</w:t>
      </w:r>
      <w:r>
        <w:rPr>
          <w:rFonts w:hint="eastAsia"/>
          <w:sz w:val="24"/>
          <w:szCs w:val="24"/>
        </w:rPr>
        <w:t xml:space="preserve"> 建筑坡道、楼梯踏步防滑等级达到现行行业标准《建筑地面工程防滑技术规程》JGJ/T331规定的A</w:t>
      </w:r>
      <w:r>
        <w:rPr>
          <w:rFonts w:hint="eastAsia"/>
          <w:sz w:val="24"/>
          <w:szCs w:val="24"/>
          <w:vertAlign w:val="subscript"/>
        </w:rPr>
        <w:t>d</w:t>
      </w:r>
      <w:r>
        <w:rPr>
          <w:rFonts w:hint="eastAsia"/>
          <w:sz w:val="24"/>
          <w:szCs w:val="24"/>
        </w:rPr>
        <w:t>、A</w:t>
      </w:r>
      <w:r>
        <w:rPr>
          <w:rFonts w:hint="eastAsia"/>
          <w:sz w:val="24"/>
          <w:szCs w:val="24"/>
          <w:vertAlign w:val="subscript"/>
        </w:rPr>
        <w:t>w</w:t>
      </w:r>
      <w:r>
        <w:rPr>
          <w:rFonts w:hint="eastAsia"/>
          <w:sz w:val="24"/>
          <w:szCs w:val="24"/>
        </w:rPr>
        <w:t>级或按水平地面等级提高一级，并采用防滑条等防滑构造技术措施，得3分。</w:t>
      </w:r>
    </w:p>
    <w:p>
      <w:pPr>
        <w:spacing w:line="360" w:lineRule="auto"/>
        <w:outlineLvl w:val="2"/>
        <w:rPr>
          <w:rFonts w:hint="eastAsia"/>
          <w:sz w:val="24"/>
          <w:szCs w:val="24"/>
        </w:rPr>
      </w:pPr>
      <w:r>
        <w:rPr>
          <w:b/>
          <w:sz w:val="24"/>
          <w:szCs w:val="24"/>
        </w:rPr>
        <w:t>4.2.5</w:t>
      </w:r>
      <w:r>
        <w:rPr>
          <w:rFonts w:hint="eastAsia"/>
          <w:b/>
          <w:sz w:val="24"/>
          <w:szCs w:val="24"/>
        </w:rPr>
        <w:t xml:space="preserve">  </w:t>
      </w:r>
      <w:r>
        <w:rPr>
          <w:rFonts w:hint="eastAsia"/>
          <w:sz w:val="24"/>
          <w:szCs w:val="24"/>
        </w:rPr>
        <w:t>采取人车分流措施，且步行和自行车交通系统有充足照明，评价分值为8分。</w:t>
      </w:r>
    </w:p>
    <w:p/>
    <w:p>
      <w:pPr>
        <w:spacing w:line="360" w:lineRule="auto"/>
        <w:ind w:left="435" w:leftChars="150" w:hanging="120" w:hangingChars="50"/>
        <w:jc w:val="center"/>
        <w:rPr>
          <w:rFonts w:eastAsia="仿宋"/>
          <w:b/>
          <w:sz w:val="24"/>
          <w:szCs w:val="24"/>
        </w:rPr>
      </w:pPr>
      <w:r>
        <w:rPr>
          <w:rFonts w:hint="eastAsia" w:eastAsia="仿宋"/>
          <w:b/>
          <w:sz w:val="24"/>
          <w:szCs w:val="24"/>
        </w:rPr>
        <w:t>II 耐久</w:t>
      </w:r>
    </w:p>
    <w:p>
      <w:pPr>
        <w:spacing w:line="360" w:lineRule="auto"/>
        <w:outlineLvl w:val="2"/>
        <w:rPr>
          <w:szCs w:val="21"/>
        </w:rPr>
      </w:pPr>
      <w:r>
        <w:rPr>
          <w:b/>
          <w:sz w:val="24"/>
          <w:szCs w:val="24"/>
        </w:rPr>
        <w:t>4.2.6</w:t>
      </w:r>
      <w:r>
        <w:rPr>
          <w:rFonts w:hint="eastAsia"/>
          <w:b/>
          <w:sz w:val="24"/>
          <w:szCs w:val="24"/>
        </w:rPr>
        <w:t xml:space="preserve">  </w:t>
      </w:r>
      <w:r>
        <w:rPr>
          <w:rFonts w:hint="eastAsia"/>
          <w:sz w:val="24"/>
          <w:szCs w:val="24"/>
        </w:rPr>
        <w:t>采取提升建筑适变性的措施，评价总分值为18分，并按下列规则分别评分并累计：</w:t>
      </w:r>
    </w:p>
    <w:p>
      <w:pPr>
        <w:spacing w:line="360" w:lineRule="auto"/>
        <w:ind w:firstLine="482" w:firstLineChars="200"/>
        <w:rPr>
          <w:sz w:val="24"/>
          <w:szCs w:val="24"/>
        </w:rPr>
      </w:pPr>
      <w:r>
        <w:rPr>
          <w:b/>
          <w:sz w:val="24"/>
          <w:szCs w:val="24"/>
        </w:rPr>
        <w:t>1</w:t>
      </w:r>
      <w:r>
        <w:rPr>
          <w:sz w:val="24"/>
          <w:szCs w:val="24"/>
        </w:rPr>
        <w:t xml:space="preserve"> </w:t>
      </w:r>
      <w:r>
        <w:rPr>
          <w:rFonts w:hint="eastAsia"/>
          <w:sz w:val="24"/>
          <w:szCs w:val="24"/>
        </w:rPr>
        <w:t>采取通用开放、灵活可变的使用空间设计，或采取建筑使用功能可变措施，得7分；</w:t>
      </w:r>
    </w:p>
    <w:p>
      <w:pPr>
        <w:spacing w:line="360" w:lineRule="auto"/>
        <w:ind w:firstLine="480" w:firstLineChars="200"/>
        <w:rPr>
          <w:sz w:val="24"/>
          <w:szCs w:val="24"/>
        </w:rPr>
      </w:pPr>
      <w:r>
        <w:rPr>
          <w:sz w:val="24"/>
          <w:szCs w:val="24"/>
        </w:rPr>
        <w:t>2</w:t>
      </w:r>
      <w:r>
        <w:rPr>
          <w:rFonts w:hint="eastAsia"/>
          <w:sz w:val="24"/>
          <w:szCs w:val="24"/>
        </w:rPr>
        <w:t xml:space="preserve"> 建筑结构与建筑设备管线分离，得7分；</w:t>
      </w:r>
    </w:p>
    <w:p>
      <w:pPr>
        <w:spacing w:line="360" w:lineRule="auto"/>
        <w:ind w:firstLine="482" w:firstLineChars="200"/>
        <w:rPr>
          <w:sz w:val="24"/>
          <w:szCs w:val="24"/>
        </w:rPr>
      </w:pPr>
      <w:r>
        <w:rPr>
          <w:b/>
          <w:sz w:val="24"/>
          <w:szCs w:val="24"/>
        </w:rPr>
        <w:t>3</w:t>
      </w:r>
      <w:r>
        <w:rPr>
          <w:rFonts w:hint="eastAsia"/>
          <w:sz w:val="24"/>
          <w:szCs w:val="24"/>
        </w:rPr>
        <w:t xml:space="preserve"> 采用与建筑功能和空间变化相适应的设备设施布置方式或控制方式，得4分。</w:t>
      </w:r>
    </w:p>
    <w:p>
      <w:pPr>
        <w:spacing w:line="360" w:lineRule="auto"/>
        <w:outlineLvl w:val="2"/>
        <w:rPr>
          <w:sz w:val="24"/>
          <w:szCs w:val="24"/>
        </w:rPr>
      </w:pPr>
      <w:r>
        <w:rPr>
          <w:b/>
          <w:sz w:val="24"/>
          <w:szCs w:val="24"/>
        </w:rPr>
        <w:t>4.2.7</w:t>
      </w:r>
      <w:r>
        <w:rPr>
          <w:rFonts w:hint="eastAsia"/>
          <w:b/>
          <w:sz w:val="24"/>
          <w:szCs w:val="24"/>
        </w:rPr>
        <w:t xml:space="preserve">  </w:t>
      </w:r>
      <w:r>
        <w:rPr>
          <w:rFonts w:hint="eastAsia"/>
          <w:sz w:val="24"/>
          <w:szCs w:val="24"/>
        </w:rPr>
        <w:t>采取提升建筑部品部件耐久性的措施，评价总分值为10分，并按下列规则分别评分并累计：</w:t>
      </w:r>
    </w:p>
    <w:p>
      <w:pPr>
        <w:spacing w:line="360" w:lineRule="auto"/>
        <w:ind w:firstLine="482" w:firstLineChars="200"/>
        <w:rPr>
          <w:sz w:val="24"/>
          <w:szCs w:val="24"/>
        </w:rPr>
      </w:pPr>
      <w:r>
        <w:rPr>
          <w:b/>
          <w:sz w:val="24"/>
          <w:szCs w:val="24"/>
        </w:rPr>
        <w:t>l</w:t>
      </w:r>
      <w:r>
        <w:rPr>
          <w:rFonts w:hint="eastAsia"/>
          <w:sz w:val="24"/>
          <w:szCs w:val="24"/>
        </w:rPr>
        <w:t xml:space="preserve"> 使用耐腐蚀、抗老化、耐久性能好的管材、管线、管件，得5分；</w:t>
      </w:r>
    </w:p>
    <w:p>
      <w:pPr>
        <w:spacing w:line="360" w:lineRule="auto"/>
        <w:ind w:firstLine="482" w:firstLineChars="200"/>
        <w:rPr>
          <w:sz w:val="24"/>
          <w:szCs w:val="24"/>
        </w:rPr>
      </w:pPr>
      <w:r>
        <w:rPr>
          <w:b/>
          <w:sz w:val="24"/>
          <w:szCs w:val="24"/>
        </w:rPr>
        <w:t>2</w:t>
      </w:r>
      <w:r>
        <w:rPr>
          <w:rFonts w:hint="eastAsia"/>
          <w:sz w:val="24"/>
          <w:szCs w:val="24"/>
        </w:rPr>
        <w:t xml:space="preserve"> 活动配件选用长寿命产品，并考虑部品组合的同寿命性；不同使用寿命的部品组合时，采用便于分别拆换、更新和升级的构造，得5分。</w:t>
      </w:r>
    </w:p>
    <w:p>
      <w:pPr>
        <w:spacing w:line="360" w:lineRule="auto"/>
        <w:outlineLvl w:val="2"/>
        <w:rPr>
          <w:sz w:val="24"/>
          <w:szCs w:val="24"/>
        </w:rPr>
      </w:pPr>
      <w:r>
        <w:rPr>
          <w:b/>
          <w:sz w:val="24"/>
          <w:szCs w:val="24"/>
        </w:rPr>
        <w:t>4.2.8</w:t>
      </w:r>
      <w:r>
        <w:rPr>
          <w:rFonts w:hint="eastAsia"/>
          <w:b/>
          <w:sz w:val="24"/>
          <w:szCs w:val="24"/>
        </w:rPr>
        <w:t xml:space="preserve">  </w:t>
      </w:r>
      <w:r>
        <w:rPr>
          <w:rFonts w:hint="eastAsia"/>
          <w:sz w:val="24"/>
          <w:szCs w:val="24"/>
        </w:rPr>
        <w:t>提高建筑结构材料的耐久性，评价总分值为10分，并按下列规则评分：</w:t>
      </w:r>
    </w:p>
    <w:p>
      <w:pPr>
        <w:spacing w:line="360" w:lineRule="auto"/>
        <w:ind w:firstLine="482" w:firstLineChars="200"/>
        <w:rPr>
          <w:sz w:val="24"/>
          <w:szCs w:val="24"/>
        </w:rPr>
      </w:pPr>
      <w:r>
        <w:rPr>
          <w:b/>
          <w:sz w:val="24"/>
          <w:szCs w:val="24"/>
        </w:rPr>
        <w:t>1</w:t>
      </w:r>
      <w:r>
        <w:rPr>
          <w:rFonts w:hint="eastAsia"/>
          <w:sz w:val="24"/>
          <w:szCs w:val="24"/>
        </w:rPr>
        <w:t xml:space="preserve"> 按100年进行耐久性设计，得10 分。</w:t>
      </w:r>
    </w:p>
    <w:p>
      <w:pPr>
        <w:spacing w:line="360" w:lineRule="auto"/>
        <w:ind w:firstLine="482" w:firstLineChars="200"/>
        <w:rPr>
          <w:sz w:val="24"/>
          <w:szCs w:val="24"/>
        </w:rPr>
      </w:pPr>
      <w:r>
        <w:rPr>
          <w:b/>
          <w:sz w:val="24"/>
          <w:szCs w:val="24"/>
        </w:rPr>
        <w:t>2</w:t>
      </w:r>
      <w:r>
        <w:rPr>
          <w:rFonts w:hint="eastAsia"/>
          <w:sz w:val="24"/>
          <w:szCs w:val="24"/>
        </w:rPr>
        <w:t xml:space="preserve"> 采用耐久性能好的建筑结构材料，满足下列条件之一，</w:t>
      </w:r>
    </w:p>
    <w:p>
      <w:pPr>
        <w:spacing w:line="360" w:lineRule="auto"/>
        <w:rPr>
          <w:sz w:val="24"/>
          <w:szCs w:val="24"/>
        </w:rPr>
      </w:pPr>
      <w:r>
        <w:rPr>
          <w:rFonts w:hint="eastAsia"/>
          <w:sz w:val="24"/>
          <w:szCs w:val="24"/>
        </w:rPr>
        <w:t>得10分：</w:t>
      </w:r>
    </w:p>
    <w:p>
      <w:pPr>
        <w:spacing w:line="360" w:lineRule="auto"/>
        <w:ind w:firstLine="723" w:firstLineChars="300"/>
        <w:rPr>
          <w:sz w:val="24"/>
          <w:szCs w:val="24"/>
        </w:rPr>
      </w:pPr>
      <w:r>
        <w:rPr>
          <w:b/>
          <w:sz w:val="24"/>
          <w:szCs w:val="24"/>
        </w:rPr>
        <w:t>1</w:t>
      </w:r>
      <w:r>
        <w:rPr>
          <w:rFonts w:hint="eastAsia"/>
          <w:sz w:val="24"/>
          <w:szCs w:val="24"/>
        </w:rPr>
        <w:t>)对于混凝土构件，提高钢筋保护层厚度或采用高耐久混凝土；</w:t>
      </w:r>
    </w:p>
    <w:p>
      <w:pPr>
        <w:spacing w:line="360" w:lineRule="auto"/>
        <w:ind w:firstLine="723" w:firstLineChars="300"/>
        <w:rPr>
          <w:sz w:val="24"/>
          <w:szCs w:val="24"/>
        </w:rPr>
      </w:pPr>
      <w:r>
        <w:rPr>
          <w:b/>
          <w:sz w:val="24"/>
          <w:szCs w:val="24"/>
        </w:rPr>
        <w:t>2</w:t>
      </w:r>
      <w:r>
        <w:rPr>
          <w:rFonts w:hint="eastAsia"/>
          <w:sz w:val="24"/>
          <w:szCs w:val="24"/>
        </w:rPr>
        <w:t>)对于钢构件，采用耐候结构钢及耐候型防腐涂料；</w:t>
      </w:r>
    </w:p>
    <w:p>
      <w:pPr>
        <w:spacing w:line="360" w:lineRule="auto"/>
        <w:ind w:firstLine="723" w:firstLineChars="300"/>
        <w:rPr>
          <w:sz w:val="24"/>
          <w:szCs w:val="24"/>
        </w:rPr>
      </w:pPr>
      <w:r>
        <w:rPr>
          <w:b/>
          <w:sz w:val="24"/>
          <w:szCs w:val="24"/>
        </w:rPr>
        <w:t>3</w:t>
      </w:r>
      <w:r>
        <w:rPr>
          <w:rFonts w:hint="eastAsia"/>
          <w:sz w:val="24"/>
          <w:szCs w:val="24"/>
        </w:rPr>
        <w:t>)对于木构件，采用防腐木材、耐久木材或耐久木制品。</w:t>
      </w:r>
    </w:p>
    <w:p>
      <w:pPr>
        <w:spacing w:line="360" w:lineRule="auto"/>
        <w:outlineLvl w:val="2"/>
        <w:rPr>
          <w:sz w:val="24"/>
          <w:szCs w:val="24"/>
        </w:rPr>
      </w:pPr>
      <w:r>
        <w:rPr>
          <w:b/>
          <w:sz w:val="24"/>
          <w:szCs w:val="24"/>
        </w:rPr>
        <w:t>4.2.9</w:t>
      </w:r>
      <w:r>
        <w:rPr>
          <w:rFonts w:hint="eastAsia"/>
          <w:b/>
          <w:sz w:val="24"/>
          <w:szCs w:val="24"/>
        </w:rPr>
        <w:t xml:space="preserve">  </w:t>
      </w:r>
      <w:r>
        <w:rPr>
          <w:rFonts w:hint="eastAsia"/>
          <w:sz w:val="24"/>
          <w:szCs w:val="24"/>
        </w:rPr>
        <w:t>合理采用耐久性好、易维护的装饰装修建筑材料，评价总分值为7 分，并按下列规则分别评分并累计：</w:t>
      </w:r>
    </w:p>
    <w:p>
      <w:pPr>
        <w:spacing w:line="360" w:lineRule="auto"/>
        <w:ind w:firstLine="482" w:firstLineChars="200"/>
        <w:rPr>
          <w:sz w:val="24"/>
          <w:szCs w:val="24"/>
        </w:rPr>
      </w:pPr>
      <w:r>
        <w:rPr>
          <w:b/>
          <w:sz w:val="24"/>
          <w:szCs w:val="24"/>
        </w:rPr>
        <w:t>1</w:t>
      </w:r>
      <w:r>
        <w:rPr>
          <w:rFonts w:hint="eastAsia"/>
          <w:sz w:val="24"/>
          <w:szCs w:val="24"/>
        </w:rPr>
        <w:t xml:space="preserve"> 采用耐久性好的外饰面材料，得3分；</w:t>
      </w:r>
    </w:p>
    <w:p>
      <w:pPr>
        <w:spacing w:line="360" w:lineRule="auto"/>
        <w:ind w:firstLine="482" w:firstLineChars="200"/>
        <w:rPr>
          <w:sz w:val="24"/>
          <w:szCs w:val="24"/>
        </w:rPr>
      </w:pPr>
      <w:r>
        <w:rPr>
          <w:b/>
          <w:sz w:val="24"/>
          <w:szCs w:val="24"/>
        </w:rPr>
        <w:t>2</w:t>
      </w:r>
      <w:r>
        <w:rPr>
          <w:rFonts w:hint="eastAsia"/>
          <w:sz w:val="24"/>
          <w:szCs w:val="24"/>
        </w:rPr>
        <w:t xml:space="preserve"> 采用耐久性好的防水和密封材料，得2分；</w:t>
      </w:r>
    </w:p>
    <w:p>
      <w:pPr>
        <w:spacing w:line="360" w:lineRule="auto"/>
        <w:ind w:firstLine="482" w:firstLineChars="200"/>
        <w:rPr>
          <w:sz w:val="24"/>
          <w:szCs w:val="24"/>
        </w:rPr>
      </w:pPr>
      <w:r>
        <w:rPr>
          <w:b/>
          <w:sz w:val="24"/>
          <w:szCs w:val="24"/>
        </w:rPr>
        <w:t>3</w:t>
      </w:r>
      <w:r>
        <w:rPr>
          <w:sz w:val="24"/>
          <w:szCs w:val="24"/>
        </w:rPr>
        <w:t xml:space="preserve"> </w:t>
      </w:r>
      <w:r>
        <w:rPr>
          <w:rFonts w:hint="eastAsia"/>
          <w:sz w:val="24"/>
          <w:szCs w:val="24"/>
        </w:rPr>
        <w:t>采用耐久性好、易维护的室内装饰装修材料，得2分。</w:t>
      </w:r>
    </w:p>
    <w:p>
      <w:pPr>
        <w:spacing w:line="360" w:lineRule="auto"/>
        <w:outlineLvl w:val="2"/>
        <w:rPr>
          <w:rFonts w:hint="eastAsia"/>
          <w:sz w:val="24"/>
          <w:szCs w:val="24"/>
        </w:rPr>
      </w:pPr>
      <w:r>
        <w:rPr>
          <w:rFonts w:hint="eastAsia"/>
          <w:b/>
          <w:sz w:val="24"/>
          <w:szCs w:val="24"/>
        </w:rPr>
        <w:t xml:space="preserve">4.2.10  </w:t>
      </w:r>
      <w:r>
        <w:rPr>
          <w:rFonts w:hint="eastAsia"/>
          <w:sz w:val="24"/>
          <w:szCs w:val="24"/>
        </w:rPr>
        <w:t>使用新型墙体材料；建筑外墙采用自保温墙体材料，不使用外保温材料或内保温材料。评价总分值为2分。</w:t>
      </w:r>
    </w:p>
    <w:p>
      <w:pPr>
        <w:spacing w:line="360" w:lineRule="auto"/>
        <w:ind w:firstLine="480" w:firstLineChars="200"/>
        <w:rPr>
          <w:rFonts w:hint="eastAsia"/>
          <w:sz w:val="24"/>
          <w:szCs w:val="24"/>
        </w:rPr>
      </w:pPr>
      <w:r>
        <w:rPr>
          <w:rFonts w:hint="eastAsia"/>
          <w:sz w:val="24"/>
          <w:szCs w:val="24"/>
        </w:rPr>
        <w:t>1 使用新型墙体材料，得1分；</w:t>
      </w:r>
    </w:p>
    <w:p>
      <w:pPr>
        <w:spacing w:line="360" w:lineRule="auto"/>
        <w:ind w:firstLine="480" w:firstLineChars="200"/>
        <w:rPr>
          <w:rFonts w:hint="eastAsia"/>
          <w:sz w:val="24"/>
          <w:szCs w:val="24"/>
        </w:rPr>
      </w:pPr>
      <w:r>
        <w:rPr>
          <w:rFonts w:hint="eastAsia"/>
          <w:sz w:val="24"/>
          <w:szCs w:val="24"/>
        </w:rPr>
        <w:t>2建筑外墙采用自保温墙体材料，得1分。</w:t>
      </w:r>
    </w:p>
    <w:p>
      <w:pPr>
        <w:spacing w:line="360" w:lineRule="auto"/>
        <w:ind w:firstLine="480" w:firstLineChars="200"/>
        <w:rPr>
          <w:rFonts w:hint="eastAsia"/>
          <w:sz w:val="24"/>
          <w:szCs w:val="24"/>
        </w:rPr>
      </w:pPr>
    </w:p>
    <w:p>
      <w:pPr>
        <w:spacing w:line="360" w:lineRule="auto"/>
        <w:ind w:firstLine="480" w:firstLineChars="200"/>
        <w:rPr>
          <w:sz w:val="24"/>
          <w:szCs w:val="24"/>
        </w:rPr>
        <w:sectPr>
          <w:type w:val="continuous"/>
          <w:pgSz w:w="11907" w:h="16839"/>
          <w:pgMar w:top="851" w:right="907" w:bottom="851" w:left="1418" w:header="851" w:footer="992" w:gutter="0"/>
          <w:cols w:space="720" w:num="1"/>
          <w:docGrid w:type="lines" w:linePitch="312" w:charSpace="0"/>
        </w:sectPr>
      </w:pPr>
    </w:p>
    <w:p>
      <w:pPr>
        <w:spacing w:line="360" w:lineRule="auto"/>
        <w:ind w:firstLine="482" w:firstLineChars="200"/>
        <w:rPr>
          <w:rFonts w:hint="eastAsia"/>
          <w:b/>
          <w:bCs/>
          <w:sz w:val="24"/>
          <w:szCs w:val="24"/>
        </w:rPr>
      </w:pPr>
      <w:bookmarkStart w:id="99" w:name="_Toc24542991"/>
    </w:p>
    <w:p>
      <w:pPr>
        <w:spacing w:line="360" w:lineRule="auto"/>
        <w:ind w:firstLine="482" w:firstLineChars="200"/>
        <w:rPr>
          <w:rFonts w:hint="eastAsia"/>
          <w:b/>
          <w:bCs/>
          <w:sz w:val="24"/>
          <w:szCs w:val="24"/>
        </w:rPr>
      </w:pPr>
    </w:p>
    <w:p>
      <w:pPr>
        <w:spacing w:line="360" w:lineRule="auto"/>
        <w:ind w:firstLine="482" w:firstLineChars="200"/>
        <w:rPr>
          <w:rFonts w:hint="eastAsia"/>
          <w:b/>
          <w:bCs/>
          <w:sz w:val="24"/>
          <w:szCs w:val="24"/>
        </w:rPr>
      </w:pPr>
    </w:p>
    <w:p>
      <w:pPr>
        <w:spacing w:line="360" w:lineRule="auto"/>
        <w:ind w:firstLine="482" w:firstLineChars="200"/>
        <w:rPr>
          <w:rFonts w:hint="eastAsia"/>
          <w:b/>
          <w:bCs/>
          <w:sz w:val="24"/>
          <w:szCs w:val="24"/>
        </w:rPr>
      </w:pPr>
    </w:p>
    <w:p>
      <w:pPr>
        <w:spacing w:line="360" w:lineRule="auto"/>
        <w:ind w:firstLine="482" w:firstLineChars="200"/>
        <w:rPr>
          <w:rFonts w:hint="eastAsia"/>
          <w:b/>
          <w:bCs/>
          <w:sz w:val="24"/>
          <w:szCs w:val="24"/>
        </w:rPr>
      </w:pPr>
    </w:p>
    <w:p>
      <w:pPr>
        <w:spacing w:line="360" w:lineRule="auto"/>
        <w:ind w:firstLine="482" w:firstLineChars="200"/>
        <w:rPr>
          <w:rFonts w:hint="eastAsia"/>
          <w:b/>
          <w:bCs/>
          <w:sz w:val="24"/>
          <w:szCs w:val="24"/>
        </w:rPr>
      </w:pPr>
    </w:p>
    <w:p>
      <w:pPr>
        <w:spacing w:line="360" w:lineRule="auto"/>
        <w:ind w:firstLine="482" w:firstLineChars="200"/>
        <w:rPr>
          <w:rFonts w:hint="eastAsia"/>
          <w:b/>
          <w:bCs/>
          <w:sz w:val="24"/>
          <w:szCs w:val="24"/>
        </w:rPr>
      </w:pPr>
    </w:p>
    <w:p>
      <w:pPr>
        <w:spacing w:line="360" w:lineRule="auto"/>
        <w:ind w:firstLine="482" w:firstLineChars="200"/>
        <w:rPr>
          <w:rFonts w:hint="eastAsia"/>
          <w:b/>
          <w:bCs/>
          <w:sz w:val="24"/>
          <w:szCs w:val="24"/>
        </w:rPr>
      </w:pPr>
    </w:p>
    <w:p>
      <w:pPr>
        <w:spacing w:line="360" w:lineRule="auto"/>
        <w:ind w:firstLine="482" w:firstLineChars="200"/>
        <w:rPr>
          <w:rFonts w:hint="eastAsia"/>
          <w:b/>
          <w:bCs/>
          <w:sz w:val="24"/>
          <w:szCs w:val="24"/>
        </w:rPr>
      </w:pPr>
    </w:p>
    <w:p>
      <w:pPr>
        <w:spacing w:line="360" w:lineRule="auto"/>
        <w:ind w:firstLine="482" w:firstLineChars="200"/>
        <w:rPr>
          <w:rFonts w:hint="eastAsia"/>
          <w:b/>
          <w:bCs/>
          <w:sz w:val="24"/>
          <w:szCs w:val="24"/>
        </w:rPr>
      </w:pPr>
    </w:p>
    <w:p>
      <w:pPr>
        <w:spacing w:line="360" w:lineRule="auto"/>
        <w:ind w:firstLine="482" w:firstLineChars="200"/>
        <w:rPr>
          <w:rFonts w:hint="eastAsia"/>
          <w:b/>
          <w:bCs/>
          <w:sz w:val="24"/>
          <w:szCs w:val="24"/>
        </w:rPr>
      </w:pPr>
    </w:p>
    <w:p>
      <w:pPr>
        <w:spacing w:line="360" w:lineRule="auto"/>
        <w:ind w:firstLine="482" w:firstLineChars="200"/>
        <w:rPr>
          <w:rFonts w:hint="eastAsia"/>
          <w:b/>
          <w:bCs/>
          <w:sz w:val="24"/>
          <w:szCs w:val="24"/>
        </w:rPr>
      </w:pPr>
    </w:p>
    <w:p>
      <w:pPr>
        <w:spacing w:line="360" w:lineRule="auto"/>
        <w:ind w:firstLine="482" w:firstLineChars="200"/>
        <w:rPr>
          <w:rFonts w:hint="eastAsia"/>
          <w:b/>
          <w:bCs/>
          <w:sz w:val="24"/>
          <w:szCs w:val="24"/>
        </w:rPr>
      </w:pPr>
    </w:p>
    <w:p>
      <w:pPr>
        <w:spacing w:line="360" w:lineRule="auto"/>
        <w:ind w:firstLine="482" w:firstLineChars="200"/>
        <w:rPr>
          <w:rFonts w:hint="eastAsia"/>
          <w:b/>
          <w:bCs/>
          <w:sz w:val="24"/>
          <w:szCs w:val="24"/>
        </w:rPr>
      </w:pPr>
    </w:p>
    <w:p>
      <w:pPr>
        <w:spacing w:line="360" w:lineRule="auto"/>
        <w:ind w:firstLine="482" w:firstLineChars="200"/>
        <w:rPr>
          <w:rFonts w:hint="eastAsia"/>
          <w:b/>
          <w:bCs/>
          <w:sz w:val="24"/>
          <w:szCs w:val="24"/>
        </w:rPr>
      </w:pPr>
    </w:p>
    <w:p>
      <w:pPr>
        <w:spacing w:line="360" w:lineRule="auto"/>
        <w:ind w:firstLine="482" w:firstLineChars="200"/>
        <w:rPr>
          <w:rFonts w:hint="eastAsia"/>
          <w:b/>
          <w:bCs/>
          <w:sz w:val="24"/>
          <w:szCs w:val="24"/>
        </w:rPr>
      </w:pPr>
    </w:p>
    <w:p>
      <w:pPr>
        <w:spacing w:line="360" w:lineRule="auto"/>
        <w:ind w:firstLine="482" w:firstLineChars="200"/>
        <w:rPr>
          <w:rFonts w:hint="eastAsia"/>
          <w:b/>
          <w:bCs/>
          <w:sz w:val="24"/>
          <w:szCs w:val="24"/>
        </w:rPr>
      </w:pPr>
    </w:p>
    <w:p>
      <w:pPr>
        <w:spacing w:line="360" w:lineRule="auto"/>
        <w:ind w:firstLine="482" w:firstLineChars="200"/>
        <w:rPr>
          <w:rFonts w:hint="eastAsia"/>
          <w:b/>
          <w:bCs/>
          <w:sz w:val="24"/>
          <w:szCs w:val="24"/>
        </w:rPr>
      </w:pPr>
    </w:p>
    <w:p>
      <w:pPr>
        <w:spacing w:line="360" w:lineRule="auto"/>
        <w:ind w:firstLine="482" w:firstLineChars="200"/>
        <w:rPr>
          <w:rFonts w:hint="eastAsia"/>
          <w:b/>
          <w:bCs/>
          <w:sz w:val="24"/>
          <w:szCs w:val="24"/>
        </w:rPr>
      </w:pPr>
    </w:p>
    <w:p>
      <w:pPr>
        <w:spacing w:line="360" w:lineRule="auto"/>
        <w:ind w:firstLine="482" w:firstLineChars="200"/>
        <w:rPr>
          <w:rFonts w:hint="eastAsia"/>
          <w:b/>
          <w:bCs/>
          <w:sz w:val="24"/>
          <w:szCs w:val="24"/>
        </w:rPr>
      </w:pPr>
    </w:p>
    <w:p>
      <w:pPr>
        <w:spacing w:line="360" w:lineRule="auto"/>
        <w:ind w:firstLine="482" w:firstLineChars="200"/>
        <w:rPr>
          <w:rFonts w:hint="eastAsia"/>
          <w:b/>
          <w:bCs/>
          <w:sz w:val="24"/>
          <w:szCs w:val="24"/>
        </w:rPr>
      </w:pPr>
    </w:p>
    <w:p>
      <w:pPr>
        <w:spacing w:line="360" w:lineRule="auto"/>
        <w:ind w:firstLine="482" w:firstLineChars="200"/>
        <w:rPr>
          <w:rFonts w:hint="eastAsia"/>
          <w:b/>
          <w:bCs/>
          <w:sz w:val="24"/>
          <w:szCs w:val="24"/>
        </w:rPr>
      </w:pPr>
    </w:p>
    <w:p>
      <w:pPr>
        <w:spacing w:line="360" w:lineRule="auto"/>
        <w:ind w:firstLine="482" w:firstLineChars="200"/>
        <w:rPr>
          <w:rFonts w:hint="eastAsia"/>
          <w:b/>
          <w:bCs/>
          <w:sz w:val="24"/>
          <w:szCs w:val="24"/>
        </w:rPr>
      </w:pPr>
    </w:p>
    <w:p>
      <w:pPr>
        <w:spacing w:line="360" w:lineRule="auto"/>
        <w:rPr>
          <w:rFonts w:hint="eastAsia"/>
          <w:b/>
          <w:bCs/>
          <w:sz w:val="24"/>
          <w:szCs w:val="24"/>
        </w:rPr>
      </w:pPr>
    </w:p>
    <w:p>
      <w:pPr>
        <w:ind w:left="476" w:leftChars="150" w:hanging="161" w:hangingChars="50"/>
        <w:jc w:val="center"/>
        <w:outlineLvl w:val="0"/>
        <w:rPr>
          <w:b/>
          <w:sz w:val="32"/>
          <w:szCs w:val="32"/>
        </w:rPr>
      </w:pPr>
      <w:r>
        <w:rPr>
          <w:rFonts w:hint="eastAsia"/>
          <w:b/>
          <w:sz w:val="32"/>
          <w:szCs w:val="32"/>
        </w:rPr>
        <w:t>5 健 康 舒 适</w:t>
      </w:r>
      <w:bookmarkEnd w:id="99"/>
    </w:p>
    <w:p>
      <w:pPr>
        <w:rPr>
          <w:rFonts w:hint="eastAsia"/>
        </w:rPr>
      </w:pPr>
    </w:p>
    <w:p>
      <w:pPr>
        <w:spacing w:line="360" w:lineRule="auto"/>
        <w:ind w:left="435" w:leftChars="150" w:hanging="120" w:hangingChars="50"/>
        <w:jc w:val="center"/>
        <w:outlineLvl w:val="1"/>
        <w:rPr>
          <w:rFonts w:hint="eastAsia" w:eastAsia="黑体"/>
          <w:b/>
          <w:sz w:val="24"/>
          <w:szCs w:val="24"/>
        </w:rPr>
      </w:pPr>
      <w:bookmarkStart w:id="100" w:name="_Toc24542992"/>
      <w:r>
        <w:rPr>
          <w:rFonts w:eastAsia="黑体"/>
          <w:b/>
          <w:sz w:val="24"/>
          <w:szCs w:val="24"/>
        </w:rPr>
        <w:t>5.1</w:t>
      </w:r>
      <w:r>
        <w:rPr>
          <w:rFonts w:hint="eastAsia" w:eastAsia="黑体"/>
          <w:b/>
          <w:sz w:val="24"/>
          <w:szCs w:val="24"/>
        </w:rPr>
        <w:t xml:space="preserve"> 控 制 项</w:t>
      </w:r>
      <w:bookmarkEnd w:id="100"/>
    </w:p>
    <w:p>
      <w:pPr>
        <w:spacing w:line="360" w:lineRule="auto"/>
        <w:jc w:val="left"/>
        <w:rPr>
          <w:rFonts w:hint="eastAsia" w:eastAsia="黑体"/>
          <w:b/>
          <w:sz w:val="24"/>
          <w:szCs w:val="24"/>
        </w:rPr>
      </w:pPr>
    </w:p>
    <w:p>
      <w:pPr>
        <w:pStyle w:val="26"/>
        <w:spacing w:line="360" w:lineRule="auto"/>
        <w:ind w:firstLine="0" w:firstLineChars="0"/>
        <w:rPr>
          <w:rFonts w:hint="eastAsia"/>
          <w:szCs w:val="24"/>
        </w:rPr>
      </w:pPr>
      <w:r>
        <w:rPr>
          <w:b/>
          <w:szCs w:val="24"/>
        </w:rPr>
        <w:t>5.1.1</w:t>
      </w:r>
      <w:r>
        <w:rPr>
          <w:rFonts w:hint="eastAsia"/>
          <w:szCs w:val="24"/>
        </w:rPr>
        <w:t xml:space="preserve"> 室内空气中的氨、甲醒、苯、总挥发性有机物、氢等污染物浓度应符合现行国家标准《室内空气质量标准》GB/T18883的有关规定。建筑室内和建筑主出入口处应禁止吸烟，并应在醒目位置设置禁烟标志。</w:t>
      </w:r>
    </w:p>
    <w:p>
      <w:pPr>
        <w:pStyle w:val="26"/>
        <w:spacing w:line="360" w:lineRule="auto"/>
        <w:ind w:firstLine="0" w:firstLineChars="0"/>
        <w:rPr>
          <w:rFonts w:hint="eastAsia"/>
          <w:szCs w:val="24"/>
        </w:rPr>
      </w:pPr>
      <w:r>
        <w:rPr>
          <w:b/>
          <w:szCs w:val="24"/>
        </w:rPr>
        <w:t>5.1.2</w:t>
      </w:r>
      <w:r>
        <w:rPr>
          <w:rFonts w:hint="eastAsia"/>
          <w:szCs w:val="24"/>
        </w:rPr>
        <w:t xml:space="preserve"> 应采取措施避免厨房、餐厅、打印复印室、卫生间、地下车库等区域的空气和污染物串通到其他空间；应防止厨房、卫生间的排气倒灌。</w:t>
      </w:r>
    </w:p>
    <w:p>
      <w:pPr>
        <w:pStyle w:val="26"/>
        <w:spacing w:line="360" w:lineRule="auto"/>
        <w:ind w:firstLine="0" w:firstLineChars="0"/>
        <w:rPr>
          <w:rFonts w:hint="eastAsia"/>
          <w:szCs w:val="24"/>
        </w:rPr>
      </w:pPr>
      <w:r>
        <w:rPr>
          <w:b/>
          <w:szCs w:val="24"/>
        </w:rPr>
        <w:t>5.1.3</w:t>
      </w:r>
      <w:r>
        <w:rPr>
          <w:rFonts w:hint="eastAsia"/>
          <w:b/>
          <w:szCs w:val="24"/>
        </w:rPr>
        <w:t xml:space="preserve"> </w:t>
      </w:r>
      <w:r>
        <w:rPr>
          <w:rFonts w:hint="eastAsia"/>
          <w:szCs w:val="24"/>
        </w:rPr>
        <w:t xml:space="preserve"> 给水排水系统的设置应符合下列规定：</w:t>
      </w:r>
    </w:p>
    <w:p>
      <w:pPr>
        <w:pStyle w:val="26"/>
        <w:spacing w:line="360" w:lineRule="auto"/>
        <w:ind w:firstLine="482"/>
        <w:outlineLvl w:val="9"/>
        <w:rPr>
          <w:rFonts w:hint="eastAsia"/>
          <w:szCs w:val="24"/>
        </w:rPr>
      </w:pPr>
      <w:r>
        <w:rPr>
          <w:b/>
          <w:szCs w:val="24"/>
        </w:rPr>
        <w:t>1</w:t>
      </w:r>
      <w:r>
        <w:rPr>
          <w:rFonts w:hint="eastAsia"/>
          <w:szCs w:val="24"/>
        </w:rPr>
        <w:t xml:space="preserve"> 生活饮用水水质应满足现行国家标准《生活饮用水卫生标准》GB5749的要求；</w:t>
      </w:r>
    </w:p>
    <w:p>
      <w:pPr>
        <w:pStyle w:val="26"/>
        <w:spacing w:line="360" w:lineRule="auto"/>
        <w:ind w:left="359" w:leftChars="171" w:firstLine="120" w:firstLineChars="50"/>
        <w:outlineLvl w:val="9"/>
        <w:rPr>
          <w:rFonts w:hint="eastAsia"/>
          <w:szCs w:val="24"/>
        </w:rPr>
      </w:pPr>
      <w:r>
        <w:rPr>
          <w:b/>
          <w:szCs w:val="24"/>
        </w:rPr>
        <w:t>2</w:t>
      </w:r>
      <w:r>
        <w:rPr>
          <w:rFonts w:hint="eastAsia"/>
          <w:szCs w:val="24"/>
        </w:rPr>
        <w:t xml:space="preserve"> 应制定水池、水箱等储水设施定期清洗消毒计划并实施，且生活饮用水储水设施每半年清洗消毒不应少于1次；</w:t>
      </w:r>
    </w:p>
    <w:p>
      <w:pPr>
        <w:pStyle w:val="26"/>
        <w:spacing w:line="360" w:lineRule="auto"/>
        <w:ind w:firstLine="482"/>
        <w:outlineLvl w:val="9"/>
        <w:rPr>
          <w:rFonts w:hint="eastAsia"/>
          <w:szCs w:val="24"/>
        </w:rPr>
      </w:pPr>
      <w:r>
        <w:rPr>
          <w:b/>
          <w:szCs w:val="24"/>
        </w:rPr>
        <w:t>3</w:t>
      </w:r>
      <w:r>
        <w:rPr>
          <w:rFonts w:hint="eastAsia"/>
          <w:szCs w:val="24"/>
        </w:rPr>
        <w:t xml:space="preserve"> 应使用构造内自带水封的便器，且其水封深度不应小于50mm;</w:t>
      </w:r>
    </w:p>
    <w:p>
      <w:pPr>
        <w:pStyle w:val="26"/>
        <w:spacing w:line="360" w:lineRule="auto"/>
        <w:ind w:firstLine="480"/>
        <w:outlineLvl w:val="9"/>
        <w:rPr>
          <w:rFonts w:hint="eastAsia"/>
          <w:szCs w:val="24"/>
        </w:rPr>
      </w:pPr>
      <w:r>
        <w:rPr>
          <w:rFonts w:hint="eastAsia"/>
          <w:szCs w:val="24"/>
        </w:rPr>
        <w:t>4 非传统水源管道和设备应设置明确、清晰的永久性标识。</w:t>
      </w:r>
    </w:p>
    <w:p>
      <w:pPr>
        <w:pStyle w:val="26"/>
        <w:spacing w:line="360" w:lineRule="auto"/>
        <w:ind w:firstLine="0" w:firstLineChars="0"/>
        <w:rPr>
          <w:rFonts w:hint="eastAsia"/>
          <w:szCs w:val="24"/>
        </w:rPr>
      </w:pPr>
      <w:r>
        <w:rPr>
          <w:b/>
          <w:szCs w:val="24"/>
        </w:rPr>
        <w:t>5.1.4</w:t>
      </w:r>
      <w:r>
        <w:rPr>
          <w:rFonts w:hint="eastAsia"/>
          <w:b/>
          <w:szCs w:val="24"/>
        </w:rPr>
        <w:t xml:space="preserve"> </w:t>
      </w:r>
      <w:r>
        <w:rPr>
          <w:rFonts w:hint="eastAsia"/>
          <w:szCs w:val="24"/>
        </w:rPr>
        <w:t xml:space="preserve"> 主要功能房间的室内噪声级和隔声性能应符合下列规定：</w:t>
      </w:r>
    </w:p>
    <w:p>
      <w:pPr>
        <w:pStyle w:val="26"/>
        <w:spacing w:line="360" w:lineRule="auto"/>
        <w:ind w:left="645" w:leftChars="250" w:hanging="120" w:hangingChars="50"/>
        <w:outlineLvl w:val="9"/>
        <w:rPr>
          <w:rFonts w:hint="eastAsia"/>
          <w:szCs w:val="24"/>
        </w:rPr>
      </w:pPr>
      <w:r>
        <w:rPr>
          <w:b/>
          <w:szCs w:val="24"/>
        </w:rPr>
        <w:t>1</w:t>
      </w:r>
      <w:r>
        <w:rPr>
          <w:rFonts w:hint="eastAsia"/>
          <w:szCs w:val="24"/>
        </w:rPr>
        <w:t xml:space="preserve"> 室内噪声级应满足现行国家标准《民用建筑隔声设计规范》GB50118中的低限要求；</w:t>
      </w:r>
    </w:p>
    <w:p>
      <w:pPr>
        <w:pStyle w:val="26"/>
        <w:spacing w:line="360" w:lineRule="auto"/>
        <w:ind w:left="645" w:leftChars="250" w:hanging="120" w:hangingChars="50"/>
        <w:outlineLvl w:val="9"/>
        <w:rPr>
          <w:rFonts w:hint="eastAsia"/>
          <w:szCs w:val="24"/>
        </w:rPr>
      </w:pPr>
      <w:r>
        <w:rPr>
          <w:b/>
          <w:szCs w:val="24"/>
        </w:rPr>
        <w:t>2</w:t>
      </w:r>
      <w:r>
        <w:rPr>
          <w:rFonts w:hint="eastAsia"/>
          <w:szCs w:val="24"/>
        </w:rPr>
        <w:t xml:space="preserve"> 外墙、隔墙、楼板和门窗的隔声性能应满足现行国家标准《民用建筑隔声设计规范》GB50118中的低限要求。</w:t>
      </w:r>
    </w:p>
    <w:p>
      <w:pPr>
        <w:pStyle w:val="26"/>
        <w:spacing w:line="360" w:lineRule="auto"/>
        <w:ind w:firstLine="0" w:firstLineChars="0"/>
        <w:rPr>
          <w:rFonts w:hint="eastAsia"/>
          <w:szCs w:val="24"/>
        </w:rPr>
      </w:pPr>
      <w:r>
        <w:rPr>
          <w:b/>
          <w:szCs w:val="24"/>
        </w:rPr>
        <w:t>5.1.5</w:t>
      </w:r>
      <w:r>
        <w:rPr>
          <w:rFonts w:hint="eastAsia"/>
          <w:szCs w:val="24"/>
        </w:rPr>
        <w:t xml:space="preserve">  建筑照明应符合下列规定：</w:t>
      </w:r>
    </w:p>
    <w:p>
      <w:pPr>
        <w:pStyle w:val="26"/>
        <w:spacing w:line="360" w:lineRule="auto"/>
        <w:ind w:firstLine="482"/>
        <w:outlineLvl w:val="9"/>
        <w:rPr>
          <w:rFonts w:hint="eastAsia"/>
          <w:szCs w:val="24"/>
        </w:rPr>
      </w:pPr>
      <w:r>
        <w:rPr>
          <w:b/>
          <w:szCs w:val="24"/>
        </w:rPr>
        <w:t>1</w:t>
      </w:r>
      <w:r>
        <w:rPr>
          <w:rFonts w:hint="eastAsia"/>
          <w:szCs w:val="24"/>
        </w:rPr>
        <w:t xml:space="preserve"> 照明数量和质量应符合现行国家标准《建筑照明设计标准》GB50034的规定；</w:t>
      </w:r>
    </w:p>
    <w:p>
      <w:pPr>
        <w:pStyle w:val="26"/>
        <w:spacing w:line="360" w:lineRule="auto"/>
        <w:ind w:left="766" w:leftChars="250" w:hanging="241" w:hangingChars="100"/>
        <w:outlineLvl w:val="9"/>
        <w:rPr>
          <w:rFonts w:hint="eastAsia"/>
          <w:szCs w:val="24"/>
        </w:rPr>
      </w:pPr>
      <w:r>
        <w:rPr>
          <w:rFonts w:hint="eastAsia" w:eastAsia="仿宋"/>
          <w:b/>
          <w:szCs w:val="24"/>
        </w:rPr>
        <w:t>2</w:t>
      </w:r>
      <w:r>
        <w:rPr>
          <w:rFonts w:hint="eastAsia"/>
          <w:szCs w:val="24"/>
        </w:rPr>
        <w:t xml:space="preserve"> 人员长期停留的场所应采用符合现行国家标准《灯和灯系统的光生物安全性》GB/T20145规定的无危险类照明产品；</w:t>
      </w:r>
    </w:p>
    <w:p>
      <w:pPr>
        <w:pStyle w:val="26"/>
        <w:spacing w:line="360" w:lineRule="auto"/>
        <w:ind w:left="766" w:leftChars="250" w:hanging="241" w:hangingChars="100"/>
        <w:outlineLvl w:val="9"/>
        <w:rPr>
          <w:rFonts w:hint="eastAsia"/>
          <w:szCs w:val="24"/>
        </w:rPr>
      </w:pPr>
      <w:r>
        <w:rPr>
          <w:b/>
          <w:szCs w:val="24"/>
        </w:rPr>
        <w:t>3</w:t>
      </w:r>
      <w:r>
        <w:rPr>
          <w:rFonts w:hint="eastAsia"/>
          <w:szCs w:val="24"/>
        </w:rPr>
        <w:t xml:space="preserve"> 选用LED照明产品的光输出波形的波动深度应满足现行国家标准《LED 室内照明应用技术要求》GB/T31831的规定。</w:t>
      </w:r>
    </w:p>
    <w:p>
      <w:pPr>
        <w:pStyle w:val="26"/>
        <w:spacing w:line="360" w:lineRule="auto"/>
        <w:ind w:firstLine="0" w:firstLineChars="0"/>
        <w:rPr>
          <w:rFonts w:hint="eastAsia"/>
          <w:szCs w:val="24"/>
        </w:rPr>
      </w:pPr>
      <w:r>
        <w:rPr>
          <w:b/>
          <w:szCs w:val="24"/>
        </w:rPr>
        <w:t>5.1.6</w:t>
      </w:r>
      <w:r>
        <w:rPr>
          <w:rFonts w:hint="eastAsia"/>
          <w:szCs w:val="24"/>
        </w:rPr>
        <w:t xml:space="preserve">  应采取措施保障室内热环境。采用集中供暖空调系统的建筑，房间内的温度、湿度、新风量等设计参数应符合现行国家标准《民用建筑供暖通风与空气调节设计规范》GB 50736 的有关规定；采用非集中供暖空调系统的建筑，应具有保障室内热环境的措施或预留条件。</w:t>
      </w:r>
    </w:p>
    <w:p>
      <w:pPr>
        <w:pStyle w:val="26"/>
        <w:spacing w:line="360" w:lineRule="auto"/>
        <w:ind w:firstLine="0" w:firstLineChars="0"/>
        <w:rPr>
          <w:rFonts w:hint="eastAsia"/>
          <w:szCs w:val="24"/>
        </w:rPr>
      </w:pPr>
      <w:r>
        <w:rPr>
          <w:b/>
          <w:szCs w:val="24"/>
        </w:rPr>
        <w:t>5.1.7</w:t>
      </w:r>
      <w:r>
        <w:rPr>
          <w:rFonts w:hint="eastAsia"/>
          <w:szCs w:val="24"/>
        </w:rPr>
        <w:t xml:space="preserve">  围护结构热工性能应符合下列规定：</w:t>
      </w:r>
    </w:p>
    <w:p>
      <w:pPr>
        <w:pStyle w:val="26"/>
        <w:spacing w:line="360" w:lineRule="auto"/>
        <w:ind w:firstLine="482"/>
        <w:outlineLvl w:val="9"/>
        <w:rPr>
          <w:rFonts w:hint="eastAsia"/>
          <w:szCs w:val="24"/>
        </w:rPr>
      </w:pPr>
      <w:r>
        <w:rPr>
          <w:b/>
          <w:szCs w:val="24"/>
        </w:rPr>
        <w:t>1</w:t>
      </w:r>
      <w:r>
        <w:rPr>
          <w:rFonts w:hint="eastAsia"/>
          <w:szCs w:val="24"/>
        </w:rPr>
        <w:t xml:space="preserve"> 在室内设计温度、湿度条件下，建筑非透光围护结构内表面不得结露；</w:t>
      </w:r>
    </w:p>
    <w:p>
      <w:pPr>
        <w:pStyle w:val="26"/>
        <w:spacing w:line="360" w:lineRule="auto"/>
        <w:ind w:firstLine="482"/>
        <w:outlineLvl w:val="9"/>
        <w:rPr>
          <w:rFonts w:hint="eastAsia"/>
          <w:szCs w:val="24"/>
        </w:rPr>
      </w:pPr>
      <w:r>
        <w:rPr>
          <w:b/>
          <w:szCs w:val="24"/>
        </w:rPr>
        <w:t>2</w:t>
      </w:r>
      <w:r>
        <w:rPr>
          <w:rFonts w:hint="eastAsia"/>
          <w:szCs w:val="24"/>
        </w:rPr>
        <w:t xml:space="preserve"> 供暖建筑的屋面、外墙内部不应产生冷凝；</w:t>
      </w:r>
    </w:p>
    <w:p>
      <w:pPr>
        <w:pStyle w:val="26"/>
        <w:spacing w:line="360" w:lineRule="auto"/>
        <w:ind w:firstLine="482"/>
        <w:outlineLvl w:val="9"/>
        <w:rPr>
          <w:rFonts w:hint="eastAsia"/>
          <w:szCs w:val="24"/>
        </w:rPr>
      </w:pPr>
      <w:r>
        <w:rPr>
          <w:b/>
          <w:szCs w:val="24"/>
        </w:rPr>
        <w:t>3</w:t>
      </w:r>
      <w:r>
        <w:rPr>
          <w:rFonts w:hint="eastAsia"/>
          <w:b/>
          <w:szCs w:val="24"/>
        </w:rPr>
        <w:t xml:space="preserve"> </w:t>
      </w:r>
      <w:r>
        <w:rPr>
          <w:rFonts w:hint="eastAsia"/>
          <w:szCs w:val="24"/>
        </w:rPr>
        <w:t>屋顶和外墙隔热性能应满足现行国家标准《民用建筑热工设计规范》GB50176要求。</w:t>
      </w:r>
    </w:p>
    <w:p>
      <w:pPr>
        <w:pStyle w:val="26"/>
        <w:spacing w:line="360" w:lineRule="auto"/>
        <w:ind w:firstLine="0" w:firstLineChars="0"/>
        <w:rPr>
          <w:rFonts w:hint="eastAsia"/>
          <w:szCs w:val="24"/>
        </w:rPr>
      </w:pPr>
      <w:r>
        <w:rPr>
          <w:b/>
          <w:szCs w:val="24"/>
        </w:rPr>
        <w:t>5.1.8</w:t>
      </w:r>
      <w:r>
        <w:rPr>
          <w:rFonts w:hint="eastAsia"/>
          <w:b/>
          <w:szCs w:val="24"/>
        </w:rPr>
        <w:t xml:space="preserve">  </w:t>
      </w:r>
      <w:r>
        <w:rPr>
          <w:rFonts w:hint="eastAsia"/>
          <w:szCs w:val="24"/>
        </w:rPr>
        <w:t>主要功能房间应具有现场独立控制的热环境调节装置。</w:t>
      </w:r>
    </w:p>
    <w:p>
      <w:pPr>
        <w:pStyle w:val="26"/>
        <w:spacing w:line="360" w:lineRule="auto"/>
        <w:ind w:firstLine="0" w:firstLineChars="0"/>
        <w:rPr>
          <w:rFonts w:hint="eastAsia"/>
          <w:szCs w:val="24"/>
        </w:rPr>
      </w:pPr>
      <w:r>
        <w:rPr>
          <w:b/>
          <w:szCs w:val="24"/>
        </w:rPr>
        <w:t>5.1.9</w:t>
      </w:r>
      <w:r>
        <w:rPr>
          <w:rFonts w:hint="eastAsia"/>
          <w:szCs w:val="24"/>
        </w:rPr>
        <w:t xml:space="preserve">  地下车库应设置与排风设备联动的一氧化碳浓度监测装置。</w:t>
      </w:r>
    </w:p>
    <w:p>
      <w:pPr>
        <w:spacing w:line="360" w:lineRule="auto"/>
        <w:jc w:val="center"/>
        <w:rPr>
          <w:rFonts w:hint="eastAsia" w:eastAsia="黑体"/>
          <w:szCs w:val="21"/>
        </w:rPr>
      </w:pPr>
    </w:p>
    <w:p>
      <w:pPr>
        <w:spacing w:line="360" w:lineRule="auto"/>
        <w:ind w:left="435" w:leftChars="150" w:hanging="120" w:hangingChars="50"/>
        <w:jc w:val="center"/>
        <w:outlineLvl w:val="1"/>
        <w:rPr>
          <w:rFonts w:eastAsia="黑体"/>
          <w:b/>
          <w:sz w:val="24"/>
          <w:szCs w:val="24"/>
        </w:rPr>
      </w:pPr>
      <w:bookmarkStart w:id="101" w:name="_Toc24542993"/>
      <w:r>
        <w:rPr>
          <w:rFonts w:hint="eastAsia" w:eastAsia="黑体"/>
          <w:b/>
          <w:sz w:val="24"/>
          <w:szCs w:val="24"/>
        </w:rPr>
        <w:t>5.2 评 分 项</w:t>
      </w:r>
      <w:bookmarkEnd w:id="101"/>
    </w:p>
    <w:p>
      <w:pPr>
        <w:spacing w:line="360" w:lineRule="auto"/>
        <w:ind w:left="435" w:leftChars="150" w:hanging="120" w:hangingChars="50"/>
        <w:jc w:val="center"/>
        <w:rPr>
          <w:rFonts w:eastAsia="仿宋"/>
          <w:b/>
          <w:sz w:val="24"/>
          <w:szCs w:val="24"/>
        </w:rPr>
      </w:pPr>
      <w:r>
        <w:rPr>
          <w:rFonts w:hint="eastAsia" w:eastAsia="仿宋"/>
          <w:b/>
          <w:sz w:val="24"/>
          <w:szCs w:val="24"/>
        </w:rPr>
        <w:t>I 室内空气品质</w:t>
      </w:r>
    </w:p>
    <w:p>
      <w:pPr>
        <w:spacing w:line="360" w:lineRule="auto"/>
        <w:outlineLvl w:val="2"/>
        <w:rPr>
          <w:sz w:val="24"/>
          <w:szCs w:val="24"/>
        </w:rPr>
      </w:pPr>
      <w:r>
        <w:rPr>
          <w:b/>
          <w:sz w:val="24"/>
          <w:szCs w:val="24"/>
        </w:rPr>
        <w:t>5.2.1</w:t>
      </w:r>
      <w:r>
        <w:rPr>
          <w:rFonts w:hint="eastAsia"/>
          <w:b/>
          <w:sz w:val="24"/>
          <w:szCs w:val="24"/>
        </w:rPr>
        <w:t xml:space="preserve"> </w:t>
      </w:r>
      <w:r>
        <w:rPr>
          <w:rFonts w:hint="eastAsia"/>
          <w:sz w:val="24"/>
          <w:szCs w:val="24"/>
        </w:rPr>
        <w:t xml:space="preserve"> 控制室内主要空气污染物的浓度，评价总分值为12分，</w:t>
      </w:r>
    </w:p>
    <w:p>
      <w:pPr>
        <w:spacing w:line="360" w:lineRule="auto"/>
        <w:rPr>
          <w:sz w:val="24"/>
          <w:szCs w:val="24"/>
        </w:rPr>
      </w:pPr>
      <w:r>
        <w:rPr>
          <w:rFonts w:hint="eastAsia"/>
          <w:sz w:val="24"/>
          <w:szCs w:val="24"/>
        </w:rPr>
        <w:t>并按下列规则分别评分并累计：</w:t>
      </w:r>
    </w:p>
    <w:p>
      <w:pPr>
        <w:spacing w:line="360" w:lineRule="auto"/>
        <w:ind w:left="661" w:leftChars="200" w:hanging="241" w:hangingChars="100"/>
        <w:rPr>
          <w:sz w:val="24"/>
          <w:szCs w:val="24"/>
        </w:rPr>
      </w:pPr>
      <w:r>
        <w:rPr>
          <w:rFonts w:hint="eastAsia"/>
          <w:b/>
          <w:sz w:val="24"/>
          <w:szCs w:val="24"/>
        </w:rPr>
        <w:t>1</w:t>
      </w:r>
      <w:r>
        <w:rPr>
          <w:rFonts w:hint="eastAsia"/>
          <w:sz w:val="24"/>
          <w:szCs w:val="24"/>
        </w:rPr>
        <w:t xml:space="preserve"> 氨、甲醒、苯、总挥发性有机物、氢等污染物浓度低于现行国家标准《室内空气质量标准》GB/T18883规定限值的10%， 得3分；低于20%，得6分；</w:t>
      </w:r>
    </w:p>
    <w:p>
      <w:pPr>
        <w:spacing w:line="360" w:lineRule="auto"/>
        <w:ind w:left="661" w:leftChars="200" w:hanging="241" w:hangingChars="100"/>
        <w:rPr>
          <w:sz w:val="24"/>
          <w:szCs w:val="24"/>
        </w:rPr>
      </w:pPr>
      <w:r>
        <w:rPr>
          <w:rFonts w:hint="eastAsia"/>
          <w:b/>
          <w:sz w:val="24"/>
          <w:szCs w:val="24"/>
        </w:rPr>
        <w:t>2</w:t>
      </w:r>
      <w:r>
        <w:rPr>
          <w:rFonts w:hint="eastAsia"/>
          <w:sz w:val="24"/>
          <w:szCs w:val="24"/>
        </w:rPr>
        <w:t xml:space="preserve"> 室内PM2.5年均浓度不高于25μg/m³，且室内PM10年均浓度不高于50μg/m³，得6分。</w:t>
      </w:r>
    </w:p>
    <w:p>
      <w:pPr>
        <w:pStyle w:val="26"/>
        <w:spacing w:line="360" w:lineRule="auto"/>
        <w:ind w:firstLine="0" w:firstLineChars="0"/>
        <w:rPr>
          <w:rFonts w:hint="eastAsia"/>
          <w:szCs w:val="24"/>
        </w:rPr>
      </w:pPr>
      <w:r>
        <w:rPr>
          <w:b/>
          <w:szCs w:val="24"/>
        </w:rPr>
        <w:t>5.2.2</w:t>
      </w:r>
      <w:r>
        <w:rPr>
          <w:rFonts w:hint="eastAsia"/>
          <w:b/>
          <w:szCs w:val="24"/>
        </w:rPr>
        <w:t xml:space="preserve"> </w:t>
      </w:r>
      <w:r>
        <w:rPr>
          <w:rFonts w:hint="eastAsia"/>
          <w:szCs w:val="24"/>
        </w:rPr>
        <w:t xml:space="preserve"> 选用的装饰装修材料满足国家现行绿色产品评价标准中对有害物质限量的要求，评价总分值为8分。选用满足要求的装饰装修材料达到3类及以上，得5分；达到5类及以上，得8分。</w:t>
      </w:r>
    </w:p>
    <w:p>
      <w:pPr>
        <w:spacing w:line="360" w:lineRule="auto"/>
        <w:ind w:left="435" w:leftChars="150" w:hanging="120" w:hangingChars="50"/>
        <w:jc w:val="center"/>
        <w:rPr>
          <w:rFonts w:hint="eastAsia" w:eastAsia="仿宋"/>
          <w:b/>
          <w:sz w:val="24"/>
          <w:szCs w:val="24"/>
        </w:rPr>
      </w:pPr>
      <w:r>
        <w:rPr>
          <w:rFonts w:hint="eastAsia" w:eastAsia="仿宋"/>
          <w:b/>
          <w:sz w:val="24"/>
          <w:szCs w:val="24"/>
        </w:rPr>
        <w:t>Ⅱ 水  质</w:t>
      </w:r>
    </w:p>
    <w:p>
      <w:pPr>
        <w:pStyle w:val="26"/>
        <w:spacing w:line="360" w:lineRule="auto"/>
        <w:ind w:firstLine="0" w:firstLineChars="0"/>
        <w:rPr>
          <w:rFonts w:hint="eastAsia"/>
          <w:szCs w:val="24"/>
        </w:rPr>
      </w:pPr>
      <w:r>
        <w:rPr>
          <w:b/>
          <w:szCs w:val="24"/>
        </w:rPr>
        <w:t>5.2.3</w:t>
      </w:r>
      <w:r>
        <w:rPr>
          <w:rFonts w:hint="eastAsia"/>
          <w:szCs w:val="24"/>
        </w:rPr>
        <w:t xml:space="preserve">  直饮水、集中生活热水、游泳池水、采暖空调系统用水、景观水体等的水质满足国家现行有关标准的要求，评价分值为8分。</w:t>
      </w:r>
    </w:p>
    <w:p>
      <w:pPr>
        <w:pStyle w:val="26"/>
        <w:spacing w:line="360" w:lineRule="auto"/>
        <w:ind w:firstLine="0" w:firstLineChars="0"/>
        <w:rPr>
          <w:rFonts w:hint="eastAsia"/>
          <w:szCs w:val="24"/>
        </w:rPr>
      </w:pPr>
      <w:r>
        <w:rPr>
          <w:b/>
          <w:szCs w:val="24"/>
        </w:rPr>
        <w:t>5.2.4</w:t>
      </w:r>
      <w:r>
        <w:rPr>
          <w:rFonts w:hint="eastAsia"/>
          <w:szCs w:val="24"/>
        </w:rPr>
        <w:t xml:space="preserve">  生活饮用水水池、水箱等储水设施采取措施满足卫生要求，评价总分值为9分，并按下列规则分别评分并累计：</w:t>
      </w:r>
    </w:p>
    <w:p>
      <w:pPr>
        <w:pStyle w:val="26"/>
        <w:spacing w:line="360" w:lineRule="auto"/>
        <w:ind w:firstLine="482"/>
        <w:outlineLvl w:val="9"/>
        <w:rPr>
          <w:rFonts w:hint="eastAsia"/>
          <w:szCs w:val="24"/>
        </w:rPr>
      </w:pPr>
      <w:r>
        <w:rPr>
          <w:b/>
          <w:szCs w:val="24"/>
        </w:rPr>
        <w:t>l</w:t>
      </w:r>
      <w:r>
        <w:rPr>
          <w:rFonts w:hint="eastAsia"/>
          <w:szCs w:val="24"/>
        </w:rPr>
        <w:t xml:space="preserve"> 使用符合国家现行有关标准要求的成品水箱，得4分；</w:t>
      </w:r>
    </w:p>
    <w:p>
      <w:pPr>
        <w:pStyle w:val="26"/>
        <w:spacing w:line="360" w:lineRule="auto"/>
        <w:ind w:firstLine="480"/>
        <w:outlineLvl w:val="9"/>
        <w:rPr>
          <w:rFonts w:hint="eastAsia"/>
          <w:szCs w:val="24"/>
        </w:rPr>
      </w:pPr>
      <w:r>
        <w:rPr>
          <w:szCs w:val="24"/>
        </w:rPr>
        <w:t>2</w:t>
      </w:r>
      <w:r>
        <w:rPr>
          <w:rFonts w:hint="eastAsia"/>
          <w:szCs w:val="24"/>
        </w:rPr>
        <w:t xml:space="preserve"> 采取保证储水不变质的措施，得5分。</w:t>
      </w:r>
    </w:p>
    <w:p>
      <w:pPr>
        <w:pStyle w:val="26"/>
        <w:spacing w:line="360" w:lineRule="auto"/>
        <w:ind w:firstLine="0" w:firstLineChars="0"/>
        <w:rPr>
          <w:rFonts w:hint="eastAsia"/>
          <w:szCs w:val="24"/>
        </w:rPr>
      </w:pPr>
      <w:r>
        <w:rPr>
          <w:b/>
          <w:szCs w:val="24"/>
        </w:rPr>
        <w:t>5.2.5</w:t>
      </w:r>
      <w:r>
        <w:rPr>
          <w:rFonts w:hint="eastAsia"/>
          <w:szCs w:val="24"/>
        </w:rPr>
        <w:t xml:space="preserve">  所有给水排水管道、设备、设施设置明确、清晰的永久性标识，评价分值为8 分。</w:t>
      </w:r>
    </w:p>
    <w:p>
      <w:pPr>
        <w:pStyle w:val="26"/>
        <w:spacing w:line="360" w:lineRule="auto"/>
        <w:ind w:firstLine="0" w:firstLineChars="0"/>
        <w:outlineLvl w:val="9"/>
        <w:rPr>
          <w:rFonts w:hint="eastAsia"/>
          <w:szCs w:val="24"/>
        </w:rPr>
      </w:pPr>
    </w:p>
    <w:p>
      <w:pPr>
        <w:spacing w:line="360" w:lineRule="auto"/>
        <w:ind w:left="435" w:leftChars="150" w:hanging="120" w:hangingChars="50"/>
        <w:jc w:val="center"/>
        <w:rPr>
          <w:rFonts w:hint="eastAsia" w:eastAsia="仿宋"/>
          <w:b/>
          <w:sz w:val="24"/>
          <w:szCs w:val="24"/>
        </w:rPr>
      </w:pPr>
      <w:r>
        <w:rPr>
          <w:rFonts w:hint="eastAsia" w:eastAsia="仿宋"/>
          <w:b/>
          <w:sz w:val="24"/>
          <w:szCs w:val="24"/>
        </w:rPr>
        <w:t>Ⅲ 声环境与光环境</w:t>
      </w:r>
    </w:p>
    <w:p>
      <w:pPr>
        <w:pStyle w:val="26"/>
        <w:spacing w:line="360" w:lineRule="auto"/>
        <w:ind w:firstLine="0" w:firstLineChars="0"/>
        <w:rPr>
          <w:rFonts w:hint="eastAsia"/>
          <w:szCs w:val="24"/>
        </w:rPr>
      </w:pPr>
      <w:r>
        <w:rPr>
          <w:b/>
          <w:szCs w:val="24"/>
        </w:rPr>
        <w:t>5.2.6</w:t>
      </w:r>
      <w:r>
        <w:rPr>
          <w:rFonts w:hint="eastAsia"/>
          <w:b/>
          <w:szCs w:val="24"/>
        </w:rPr>
        <w:t xml:space="preserve">  </w:t>
      </w:r>
      <w:r>
        <w:rPr>
          <w:rFonts w:hint="eastAsia"/>
          <w:szCs w:val="24"/>
        </w:rPr>
        <w:t>采取措施优化主要功能房间的室内声环境，并对设备进行振动控制。评价总分值为8分。</w:t>
      </w:r>
    </w:p>
    <w:p>
      <w:pPr>
        <w:pStyle w:val="26"/>
        <w:spacing w:line="360" w:lineRule="auto"/>
        <w:ind w:firstLine="482"/>
        <w:outlineLvl w:val="9"/>
        <w:rPr>
          <w:rFonts w:hint="eastAsia"/>
          <w:szCs w:val="24"/>
        </w:rPr>
      </w:pPr>
      <w:r>
        <w:rPr>
          <w:rFonts w:hint="eastAsia"/>
          <w:b/>
          <w:szCs w:val="24"/>
        </w:rPr>
        <w:t xml:space="preserve">1 </w:t>
      </w:r>
      <w:r>
        <w:rPr>
          <w:rFonts w:hint="eastAsia"/>
          <w:szCs w:val="24"/>
        </w:rPr>
        <w:t>噪声级达到现行国家标准《民用建筑隔声设计规范》GB50118中的低限标准限值和高要求标准限值的平均值，得3分；达到高要求标准限值，得6分。</w:t>
      </w:r>
    </w:p>
    <w:p>
      <w:pPr>
        <w:pStyle w:val="26"/>
        <w:spacing w:line="360" w:lineRule="auto"/>
        <w:ind w:firstLine="482"/>
        <w:outlineLvl w:val="9"/>
        <w:rPr>
          <w:rFonts w:hint="eastAsia"/>
          <w:szCs w:val="24"/>
        </w:rPr>
      </w:pPr>
      <w:r>
        <w:rPr>
          <w:rFonts w:hint="eastAsia"/>
          <w:b/>
          <w:szCs w:val="24"/>
        </w:rPr>
        <w:t xml:space="preserve">2 </w:t>
      </w:r>
      <w:r>
        <w:rPr>
          <w:rFonts w:hint="eastAsia"/>
          <w:szCs w:val="24"/>
        </w:rPr>
        <w:t>对建筑物内的强振动设备进行有效隔振处理，得2分。</w:t>
      </w:r>
    </w:p>
    <w:p>
      <w:pPr>
        <w:pStyle w:val="26"/>
        <w:spacing w:line="360" w:lineRule="auto"/>
        <w:ind w:firstLine="0" w:firstLineChars="0"/>
        <w:rPr>
          <w:rFonts w:hint="eastAsia"/>
          <w:szCs w:val="24"/>
        </w:rPr>
      </w:pPr>
      <w:r>
        <w:rPr>
          <w:b/>
          <w:szCs w:val="24"/>
        </w:rPr>
        <w:t>5.2.7</w:t>
      </w:r>
      <w:r>
        <w:rPr>
          <w:rFonts w:hint="eastAsia"/>
          <w:szCs w:val="24"/>
        </w:rPr>
        <w:t xml:space="preserve">  主要功能房间的隔声性能良好，评价总分值为10分，并按下列规则分别评分并累计：</w:t>
      </w:r>
    </w:p>
    <w:p>
      <w:pPr>
        <w:pStyle w:val="26"/>
        <w:spacing w:line="360" w:lineRule="auto"/>
        <w:ind w:firstLine="482"/>
        <w:outlineLvl w:val="9"/>
        <w:rPr>
          <w:rFonts w:hint="eastAsia"/>
          <w:szCs w:val="24"/>
        </w:rPr>
      </w:pPr>
      <w:r>
        <w:rPr>
          <w:b/>
          <w:szCs w:val="24"/>
        </w:rPr>
        <w:t>1</w:t>
      </w:r>
      <w:r>
        <w:rPr>
          <w:rFonts w:hint="eastAsia"/>
          <w:szCs w:val="24"/>
        </w:rPr>
        <w:t xml:space="preserve"> 构件及相邻房间之间的空气声隔声性能达到现行国家标准《民用建筑隔声设计规范》GB50118中的低限标准限值和高要求标准限值的平均值，得3分；达到高要求标准限值，得5分；</w:t>
      </w:r>
    </w:p>
    <w:p>
      <w:pPr>
        <w:pStyle w:val="26"/>
        <w:spacing w:line="360" w:lineRule="auto"/>
        <w:ind w:firstLine="482"/>
        <w:outlineLvl w:val="9"/>
        <w:rPr>
          <w:rFonts w:hint="eastAsia"/>
          <w:szCs w:val="24"/>
        </w:rPr>
      </w:pPr>
      <w:r>
        <w:rPr>
          <w:b/>
          <w:szCs w:val="24"/>
        </w:rPr>
        <w:t>2</w:t>
      </w:r>
      <w:r>
        <w:rPr>
          <w:rFonts w:hint="eastAsia"/>
          <w:szCs w:val="24"/>
        </w:rPr>
        <w:t xml:space="preserve"> 楼板的撞击声隔声性能达到现行国家标准《民用建筑隔声设计规范》GB50118中的低限标准限值和高要求标准限值的平均值，得3分；达到高要求标准限值，得5分。</w:t>
      </w:r>
    </w:p>
    <w:p>
      <w:pPr>
        <w:outlineLvl w:val="2"/>
        <w:rPr>
          <w:rFonts w:hint="eastAsia" w:ascii="宋体" w:hAnsi="宋体"/>
          <w:sz w:val="36"/>
          <w:szCs w:val="28"/>
        </w:rPr>
      </w:pPr>
      <w:r>
        <w:rPr>
          <w:b/>
          <w:sz w:val="24"/>
          <w:szCs w:val="24"/>
        </w:rPr>
        <w:t>5.2.8</w:t>
      </w:r>
      <w:r>
        <w:rPr>
          <w:rFonts w:hint="eastAsia"/>
          <w:sz w:val="24"/>
          <w:szCs w:val="24"/>
        </w:rPr>
        <w:t xml:space="preserve">  充分利用天然光，评价总分值为10分，并按下列规则分别评分并累计：</w:t>
      </w:r>
    </w:p>
    <w:p>
      <w:pPr>
        <w:pStyle w:val="26"/>
        <w:spacing w:line="360" w:lineRule="auto"/>
        <w:ind w:firstLine="482"/>
        <w:outlineLvl w:val="9"/>
        <w:rPr>
          <w:rFonts w:hint="eastAsia"/>
          <w:szCs w:val="24"/>
        </w:rPr>
      </w:pPr>
      <w:r>
        <w:rPr>
          <w:b/>
          <w:szCs w:val="24"/>
        </w:rPr>
        <w:t>1</w:t>
      </w:r>
      <w:r>
        <w:rPr>
          <w:rFonts w:hint="eastAsia"/>
          <w:szCs w:val="24"/>
        </w:rPr>
        <w:t xml:space="preserve"> 住宅建筑</w:t>
      </w:r>
    </w:p>
    <w:p>
      <w:pPr>
        <w:pStyle w:val="26"/>
        <w:spacing w:line="360" w:lineRule="auto"/>
        <w:ind w:firstLine="480"/>
        <w:outlineLvl w:val="9"/>
        <w:rPr>
          <w:rFonts w:hint="eastAsia"/>
          <w:szCs w:val="24"/>
        </w:rPr>
      </w:pPr>
      <w:r>
        <w:rPr>
          <w:rFonts w:hint="eastAsia"/>
          <w:szCs w:val="24"/>
        </w:rPr>
        <w:t>1）住宅建筑室内主要功能空间至少60%面积比例区域，其采光照度值不低于300lx的小时数平均不少于8h/d，得8分；或</w:t>
      </w:r>
      <w:r>
        <w:rPr>
          <w:rFonts w:hint="eastAsia" w:ascii="宋体" w:hAnsi="宋体"/>
          <w:szCs w:val="21"/>
        </w:rPr>
        <w:t>住宅建筑起居室和卧室的窗地比达到18.33%，得6分；达到22%，得8分。</w:t>
      </w:r>
    </w:p>
    <w:p>
      <w:pPr>
        <w:pStyle w:val="26"/>
        <w:spacing w:line="360" w:lineRule="auto"/>
        <w:ind w:firstLine="482"/>
        <w:outlineLvl w:val="9"/>
        <w:rPr>
          <w:rFonts w:hint="eastAsia"/>
          <w:szCs w:val="24"/>
        </w:rPr>
      </w:pPr>
      <w:r>
        <w:rPr>
          <w:b/>
          <w:szCs w:val="24"/>
        </w:rPr>
        <w:t>2</w:t>
      </w:r>
      <w:r>
        <w:rPr>
          <w:rFonts w:hint="eastAsia"/>
          <w:szCs w:val="24"/>
        </w:rPr>
        <w:t xml:space="preserve"> 公共建筑按下列规则分别评分并累计：</w:t>
      </w:r>
    </w:p>
    <w:p>
      <w:pPr>
        <w:pStyle w:val="26"/>
        <w:spacing w:line="360" w:lineRule="auto"/>
        <w:ind w:firstLine="482"/>
        <w:outlineLvl w:val="9"/>
        <w:rPr>
          <w:rFonts w:hint="eastAsia"/>
          <w:szCs w:val="24"/>
        </w:rPr>
      </w:pPr>
      <w:r>
        <w:rPr>
          <w:b/>
          <w:szCs w:val="24"/>
        </w:rPr>
        <w:t>1</w:t>
      </w:r>
      <w:r>
        <w:rPr>
          <w:rFonts w:hint="eastAsia"/>
          <w:szCs w:val="24"/>
        </w:rPr>
        <w:t>) 内区采光系数满足采光要求的面积比例达到60%，得3分；</w:t>
      </w:r>
    </w:p>
    <w:p>
      <w:pPr>
        <w:pStyle w:val="26"/>
        <w:spacing w:line="360" w:lineRule="auto"/>
        <w:ind w:firstLine="482"/>
        <w:outlineLvl w:val="9"/>
        <w:rPr>
          <w:rFonts w:hint="eastAsia"/>
          <w:szCs w:val="24"/>
        </w:rPr>
      </w:pPr>
      <w:r>
        <w:rPr>
          <w:b/>
          <w:szCs w:val="24"/>
        </w:rPr>
        <w:t>2</w:t>
      </w:r>
      <w:r>
        <w:rPr>
          <w:rFonts w:hint="eastAsia"/>
          <w:szCs w:val="24"/>
        </w:rPr>
        <w:t>) 地下空间平均采光系数不小于0.5% 的面积与地下室首层面积的比例达到10%以上，得3分；</w:t>
      </w:r>
    </w:p>
    <w:p>
      <w:pPr>
        <w:pStyle w:val="26"/>
        <w:spacing w:line="360" w:lineRule="auto"/>
        <w:ind w:firstLine="482"/>
        <w:outlineLvl w:val="9"/>
        <w:rPr>
          <w:rFonts w:hint="eastAsia"/>
          <w:szCs w:val="24"/>
        </w:rPr>
      </w:pPr>
      <w:r>
        <w:rPr>
          <w:b/>
          <w:szCs w:val="24"/>
        </w:rPr>
        <w:t>3</w:t>
      </w:r>
      <w:r>
        <w:rPr>
          <w:rFonts w:hint="eastAsia"/>
          <w:szCs w:val="24"/>
        </w:rPr>
        <w:t>) 室内主要功能空间至少60% 面积比例区域的采光照度值不低于采光要求的小时数平均不少于4h/d，得3分。</w:t>
      </w:r>
    </w:p>
    <w:p>
      <w:pPr>
        <w:pStyle w:val="26"/>
        <w:spacing w:line="360" w:lineRule="auto"/>
        <w:ind w:firstLine="482"/>
        <w:outlineLvl w:val="9"/>
        <w:rPr>
          <w:rFonts w:hint="eastAsia"/>
          <w:szCs w:val="24"/>
        </w:rPr>
      </w:pPr>
      <w:r>
        <w:rPr>
          <w:b/>
          <w:szCs w:val="24"/>
        </w:rPr>
        <w:t>3</w:t>
      </w:r>
      <w:r>
        <w:rPr>
          <w:rFonts w:hint="eastAsia"/>
          <w:szCs w:val="24"/>
        </w:rPr>
        <w:t xml:space="preserve"> 主要功能房间有眩光控制措施，得2分。</w:t>
      </w:r>
    </w:p>
    <w:p>
      <w:pPr>
        <w:pStyle w:val="26"/>
        <w:spacing w:line="360" w:lineRule="auto"/>
        <w:ind w:firstLine="0" w:firstLineChars="0"/>
        <w:rPr>
          <w:szCs w:val="24"/>
        </w:rPr>
      </w:pPr>
      <w:r>
        <w:rPr>
          <w:b/>
          <w:szCs w:val="24"/>
        </w:rPr>
        <w:t>5.2.9</w:t>
      </w:r>
      <w:r>
        <w:rPr>
          <w:rFonts w:hint="eastAsia"/>
          <w:szCs w:val="24"/>
        </w:rPr>
        <w:t xml:space="preserve">  </w:t>
      </w:r>
      <w:r>
        <w:rPr>
          <w:szCs w:val="24"/>
        </w:rPr>
        <w:t xml:space="preserve">建筑主要功能房间具有良好的户外视野，评价分值为 2 分。 </w:t>
      </w:r>
    </w:p>
    <w:p>
      <w:pPr>
        <w:pStyle w:val="26"/>
        <w:spacing w:line="360" w:lineRule="auto"/>
        <w:ind w:firstLine="482"/>
        <w:outlineLvl w:val="9"/>
        <w:rPr>
          <w:szCs w:val="24"/>
        </w:rPr>
      </w:pPr>
      <w:r>
        <w:rPr>
          <w:b/>
          <w:szCs w:val="24"/>
        </w:rPr>
        <w:t>1</w:t>
      </w:r>
      <w:r>
        <w:rPr>
          <w:szCs w:val="24"/>
        </w:rPr>
        <w:t xml:space="preserve"> 居住建筑：其与相邻建筑的直接间距超过 18m，得 2 分； </w:t>
      </w:r>
    </w:p>
    <w:p>
      <w:pPr>
        <w:pStyle w:val="26"/>
        <w:spacing w:line="360" w:lineRule="auto"/>
        <w:ind w:firstLine="482"/>
        <w:outlineLvl w:val="9"/>
        <w:rPr>
          <w:szCs w:val="24"/>
        </w:rPr>
      </w:pPr>
      <w:r>
        <w:rPr>
          <w:b/>
          <w:szCs w:val="24"/>
        </w:rPr>
        <w:t>2</w:t>
      </w:r>
      <w:r>
        <w:rPr>
          <w:szCs w:val="24"/>
        </w:rPr>
        <w:t xml:space="preserve"> 公共建筑：主要功能房间能通过外窗看到室外自然景观，无明显视线干扰， 得 2 分。 </w:t>
      </w:r>
    </w:p>
    <w:p>
      <w:pPr>
        <w:pStyle w:val="26"/>
        <w:spacing w:line="360" w:lineRule="auto"/>
        <w:ind w:firstLine="480"/>
        <w:outlineLvl w:val="9"/>
        <w:rPr>
          <w:rFonts w:hint="eastAsia"/>
          <w:szCs w:val="24"/>
        </w:rPr>
      </w:pPr>
    </w:p>
    <w:p>
      <w:pPr>
        <w:spacing w:line="360" w:lineRule="auto"/>
        <w:ind w:left="435" w:leftChars="150" w:hanging="120" w:hangingChars="50"/>
        <w:jc w:val="center"/>
        <w:rPr>
          <w:rFonts w:hint="eastAsia" w:eastAsia="仿宋"/>
          <w:b/>
          <w:sz w:val="24"/>
          <w:szCs w:val="24"/>
        </w:rPr>
      </w:pPr>
      <w:r>
        <w:rPr>
          <w:rFonts w:hint="eastAsia" w:eastAsia="仿宋"/>
          <w:b/>
          <w:sz w:val="24"/>
          <w:szCs w:val="24"/>
        </w:rPr>
        <w:t>Ⅳ 室内热湿环境</w:t>
      </w:r>
    </w:p>
    <w:p>
      <w:pPr>
        <w:pStyle w:val="26"/>
        <w:spacing w:line="360" w:lineRule="auto"/>
        <w:ind w:firstLine="0" w:firstLineChars="0"/>
        <w:rPr>
          <w:rFonts w:hint="eastAsia"/>
          <w:szCs w:val="24"/>
        </w:rPr>
      </w:pPr>
      <w:r>
        <w:rPr>
          <w:b/>
          <w:szCs w:val="24"/>
        </w:rPr>
        <w:t>5.2.</w:t>
      </w:r>
      <w:r>
        <w:rPr>
          <w:rFonts w:hint="eastAsia"/>
          <w:b/>
          <w:szCs w:val="24"/>
        </w:rPr>
        <w:t>10</w:t>
      </w:r>
      <w:r>
        <w:rPr>
          <w:rFonts w:hint="eastAsia"/>
          <w:szCs w:val="24"/>
        </w:rPr>
        <w:t xml:space="preserve">  具有良好的室内热湿环境，评价总分值为8分，并按下列规则评分：</w:t>
      </w:r>
    </w:p>
    <w:p>
      <w:pPr>
        <w:pStyle w:val="26"/>
        <w:spacing w:line="360" w:lineRule="auto"/>
        <w:ind w:firstLine="482"/>
        <w:outlineLvl w:val="9"/>
        <w:rPr>
          <w:rFonts w:hint="eastAsia"/>
          <w:szCs w:val="24"/>
        </w:rPr>
      </w:pPr>
      <w:r>
        <w:rPr>
          <w:b/>
          <w:szCs w:val="24"/>
        </w:rPr>
        <w:t>1</w:t>
      </w:r>
      <w:r>
        <w:rPr>
          <w:rFonts w:hint="eastAsia"/>
          <w:szCs w:val="24"/>
        </w:rPr>
        <w:t xml:space="preserve"> 采用自然通风或复合通风的建筑，建筑主要功能房间室内热环境参数在适应性热舒适区域的时间比例，达到30%，得2分；每再增加10%，再得1分，最高得8分。</w:t>
      </w:r>
    </w:p>
    <w:p>
      <w:pPr>
        <w:pStyle w:val="26"/>
        <w:spacing w:line="360" w:lineRule="auto"/>
        <w:ind w:firstLine="482"/>
        <w:outlineLvl w:val="9"/>
        <w:rPr>
          <w:rFonts w:hint="eastAsia"/>
          <w:szCs w:val="24"/>
        </w:rPr>
      </w:pPr>
      <w:r>
        <w:rPr>
          <w:b/>
          <w:szCs w:val="24"/>
        </w:rPr>
        <w:t>2</w:t>
      </w:r>
      <w:r>
        <w:rPr>
          <w:rFonts w:hint="eastAsia"/>
          <w:szCs w:val="24"/>
        </w:rPr>
        <w:t xml:space="preserve"> 采用人工冷热源的建筑，主要功能房间达到现行国家标准《民用建筑室内热湿环境评价标准》GB/T50785规定的室内人工冷热源热湿环境整体评价Ⅱ级的面积比例，达到60%,，得5分；每再增加10%，再得1分，最高得8分。</w:t>
      </w:r>
    </w:p>
    <w:p>
      <w:pPr>
        <w:pStyle w:val="26"/>
        <w:spacing w:line="360" w:lineRule="auto"/>
        <w:ind w:firstLine="0" w:firstLineChars="0"/>
        <w:rPr>
          <w:rFonts w:hint="eastAsia"/>
          <w:szCs w:val="24"/>
        </w:rPr>
      </w:pPr>
      <w:r>
        <w:rPr>
          <w:b/>
          <w:szCs w:val="24"/>
        </w:rPr>
        <w:t>5.2.1</w:t>
      </w:r>
      <w:r>
        <w:rPr>
          <w:rFonts w:hint="eastAsia"/>
          <w:b/>
          <w:szCs w:val="24"/>
        </w:rPr>
        <w:t>1</w:t>
      </w:r>
      <w:r>
        <w:rPr>
          <w:rFonts w:hint="eastAsia"/>
          <w:szCs w:val="24"/>
        </w:rPr>
        <w:t xml:space="preserve">  优化建筑空间和平面布局，改善自然通风效果，评价总分值为8分，并按下列规则评分：</w:t>
      </w:r>
    </w:p>
    <w:p>
      <w:pPr>
        <w:pStyle w:val="26"/>
        <w:spacing w:line="360" w:lineRule="auto"/>
        <w:ind w:firstLine="482"/>
        <w:outlineLvl w:val="9"/>
        <w:rPr>
          <w:rFonts w:hint="eastAsia"/>
          <w:szCs w:val="24"/>
        </w:rPr>
      </w:pPr>
      <w:r>
        <w:rPr>
          <w:b/>
          <w:szCs w:val="24"/>
        </w:rPr>
        <w:t>1</w:t>
      </w:r>
      <w:r>
        <w:rPr>
          <w:rFonts w:hint="eastAsia"/>
          <w:szCs w:val="24"/>
        </w:rPr>
        <w:t xml:space="preserve"> 住宅建筑：</w:t>
      </w:r>
    </w:p>
    <w:p>
      <w:pPr>
        <w:pStyle w:val="26"/>
        <w:spacing w:line="360" w:lineRule="auto"/>
        <w:ind w:firstLine="482"/>
        <w:outlineLvl w:val="9"/>
        <w:rPr>
          <w:rFonts w:hint="eastAsia"/>
          <w:szCs w:val="24"/>
        </w:rPr>
      </w:pPr>
      <w:r>
        <w:rPr>
          <w:rFonts w:hint="eastAsia"/>
          <w:b/>
          <w:szCs w:val="24"/>
        </w:rPr>
        <w:t>1</w:t>
      </w:r>
      <w:r>
        <w:rPr>
          <w:rFonts w:hint="eastAsia"/>
          <w:szCs w:val="24"/>
        </w:rPr>
        <w:t>）通风开口面积与房间地板面积的比例在夏热冬暖地区达到12%，在夏热冬冷地区达到8%，得4分；每再增加2%，再得1分，最高得6分。</w:t>
      </w:r>
    </w:p>
    <w:p>
      <w:pPr>
        <w:pStyle w:val="26"/>
        <w:spacing w:line="360" w:lineRule="auto"/>
        <w:ind w:firstLine="482"/>
        <w:outlineLvl w:val="9"/>
        <w:rPr>
          <w:rFonts w:hint="eastAsia"/>
          <w:szCs w:val="24"/>
        </w:rPr>
      </w:pPr>
      <w:r>
        <w:rPr>
          <w:rFonts w:hint="eastAsia"/>
          <w:b/>
          <w:szCs w:val="24"/>
        </w:rPr>
        <w:t>2</w:t>
      </w:r>
      <w:r>
        <w:rPr>
          <w:rFonts w:hint="eastAsia"/>
          <w:szCs w:val="24"/>
        </w:rPr>
        <w:t>）所有卫生间均设为明卫，得2分。</w:t>
      </w:r>
    </w:p>
    <w:p>
      <w:pPr>
        <w:pStyle w:val="26"/>
        <w:spacing w:line="360" w:lineRule="auto"/>
        <w:ind w:firstLine="482"/>
        <w:outlineLvl w:val="9"/>
        <w:rPr>
          <w:rFonts w:hint="eastAsia"/>
          <w:szCs w:val="24"/>
        </w:rPr>
      </w:pPr>
      <w:r>
        <w:rPr>
          <w:b/>
          <w:szCs w:val="24"/>
        </w:rPr>
        <w:t>2</w:t>
      </w:r>
      <w:r>
        <w:rPr>
          <w:rFonts w:hint="eastAsia"/>
          <w:szCs w:val="24"/>
        </w:rPr>
        <w:t xml:space="preserve"> 公共建筑：过渡季典型工况下主要功能房间平均自然通风换气次数不小于2次/h的面积比例达到70%，得5分；每再增加10%，再得1分，最高得8分。</w:t>
      </w:r>
    </w:p>
    <w:p>
      <w:pPr>
        <w:pStyle w:val="26"/>
        <w:spacing w:line="360" w:lineRule="auto"/>
        <w:ind w:firstLine="0" w:firstLineChars="0"/>
        <w:rPr>
          <w:rFonts w:hint="eastAsia"/>
          <w:szCs w:val="24"/>
        </w:rPr>
      </w:pPr>
      <w:r>
        <w:rPr>
          <w:b/>
          <w:szCs w:val="24"/>
        </w:rPr>
        <w:t>5.2.1</w:t>
      </w:r>
      <w:r>
        <w:rPr>
          <w:rFonts w:hint="eastAsia"/>
          <w:b/>
          <w:szCs w:val="24"/>
        </w:rPr>
        <w:t>2</w:t>
      </w:r>
      <w:r>
        <w:rPr>
          <w:rFonts w:hint="eastAsia"/>
          <w:szCs w:val="24"/>
        </w:rPr>
        <w:t xml:space="preserve">  设置可调节遮阳设施，改善室内热舒适，评价总分值为9分，并按照下列规则评分：</w:t>
      </w:r>
    </w:p>
    <w:p>
      <w:pPr>
        <w:spacing w:line="360" w:lineRule="auto"/>
        <w:ind w:firstLine="482" w:firstLineChars="200"/>
        <w:rPr>
          <w:sz w:val="24"/>
        </w:rPr>
      </w:pPr>
      <w:r>
        <w:rPr>
          <w:rFonts w:hint="eastAsia"/>
          <w:b/>
          <w:kern w:val="0"/>
          <w:sz w:val="24"/>
          <w:szCs w:val="24"/>
        </w:rPr>
        <w:t>1</w:t>
      </w:r>
      <w:r>
        <w:rPr>
          <w:rFonts w:hint="eastAsia"/>
          <w:kern w:val="0"/>
          <w:sz w:val="24"/>
          <w:szCs w:val="24"/>
        </w:rPr>
        <w:t>、建筑东、西外窗（包括建筑幕墙）、天窗和透光屋顶采用固定外遮阳设施，且居住外遮阳系数分别符合《夏热冬暖地区居住建筑节能设计标准》（</w:t>
      </w:r>
      <w:r>
        <w:rPr>
          <w:kern w:val="0"/>
          <w:sz w:val="24"/>
          <w:szCs w:val="24"/>
        </w:rPr>
        <w:t>JGJ 75</w:t>
      </w:r>
      <w:r>
        <w:rPr>
          <w:rFonts w:hint="eastAsia"/>
          <w:kern w:val="0"/>
          <w:sz w:val="24"/>
          <w:szCs w:val="24"/>
        </w:rPr>
        <w:t>）、《夏热冬冷地区居住建筑节能设计标准》（</w:t>
      </w:r>
      <w:r>
        <w:rPr>
          <w:kern w:val="0"/>
          <w:sz w:val="24"/>
          <w:szCs w:val="24"/>
        </w:rPr>
        <w:t>JGJ 134</w:t>
      </w:r>
      <w:r>
        <w:rPr>
          <w:rFonts w:hint="eastAsia"/>
          <w:kern w:val="0"/>
          <w:sz w:val="24"/>
          <w:szCs w:val="24"/>
        </w:rPr>
        <w:t>），《广西壮族自治区居住建筑节能设计标准》（DBJ45/029），公共建筑遮阳要求符合《公共建筑节能设计标准》（</w:t>
      </w:r>
      <w:r>
        <w:rPr>
          <w:kern w:val="0"/>
          <w:sz w:val="24"/>
          <w:szCs w:val="24"/>
        </w:rPr>
        <w:t>GB50189</w:t>
      </w:r>
      <w:r>
        <w:rPr>
          <w:rFonts w:hint="eastAsia"/>
          <w:kern w:val="0"/>
          <w:sz w:val="24"/>
          <w:szCs w:val="24"/>
        </w:rPr>
        <w:t>）,《公共建筑节能设计标准》（DBJ/T45-042）</w:t>
      </w:r>
      <w:r>
        <w:rPr>
          <w:kern w:val="0"/>
          <w:sz w:val="24"/>
          <w:szCs w:val="24"/>
        </w:rPr>
        <w:t xml:space="preserve"> </w:t>
      </w:r>
      <w:r>
        <w:rPr>
          <w:rFonts w:hint="eastAsia"/>
          <w:kern w:val="0"/>
          <w:sz w:val="24"/>
          <w:szCs w:val="24"/>
        </w:rPr>
        <w:t>的相关规定，得</w:t>
      </w:r>
      <w:r>
        <w:rPr>
          <w:kern w:val="0"/>
          <w:sz w:val="24"/>
          <w:szCs w:val="24"/>
        </w:rPr>
        <w:t>3</w:t>
      </w:r>
      <w:r>
        <w:rPr>
          <w:rFonts w:hint="eastAsia"/>
          <w:kern w:val="0"/>
          <w:sz w:val="24"/>
          <w:szCs w:val="24"/>
        </w:rPr>
        <w:t>分；</w:t>
      </w:r>
    </w:p>
    <w:p>
      <w:pPr>
        <w:spacing w:line="360" w:lineRule="auto"/>
        <w:ind w:firstLine="482" w:firstLineChars="200"/>
        <w:rPr>
          <w:rFonts w:hint="eastAsia"/>
          <w:kern w:val="0"/>
          <w:sz w:val="24"/>
          <w:szCs w:val="24"/>
        </w:rPr>
      </w:pPr>
      <w:r>
        <w:rPr>
          <w:rFonts w:hint="eastAsia"/>
          <w:b/>
          <w:kern w:val="0"/>
          <w:sz w:val="24"/>
          <w:szCs w:val="24"/>
        </w:rPr>
        <w:t>2</w:t>
      </w:r>
      <w:r>
        <w:rPr>
          <w:rFonts w:hint="eastAsia"/>
          <w:kern w:val="0"/>
          <w:sz w:val="24"/>
          <w:szCs w:val="24"/>
        </w:rPr>
        <w:t>、可调节遮阳设施的面积占外窗透明部分的比例按表5.2.11的规则评分。</w:t>
      </w:r>
    </w:p>
    <w:p>
      <w:pPr>
        <w:spacing w:line="360" w:lineRule="auto"/>
        <w:jc w:val="center"/>
        <w:rPr>
          <w:rFonts w:eastAsia="黑体"/>
          <w:b/>
          <w:sz w:val="22"/>
          <w:szCs w:val="21"/>
        </w:rPr>
      </w:pPr>
      <w:r>
        <w:rPr>
          <w:rFonts w:eastAsia="黑体"/>
          <w:b/>
          <w:bCs/>
          <w:sz w:val="22"/>
          <w:szCs w:val="21"/>
        </w:rPr>
        <w:t>表5.2.11</w:t>
      </w:r>
      <w:r>
        <w:rPr>
          <w:rFonts w:eastAsia="黑体"/>
          <w:b/>
          <w:sz w:val="22"/>
          <w:szCs w:val="21"/>
        </w:rPr>
        <w:t>可调节遮阳设施的面积占外窗透明部分比例评分规则</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16"/>
        <w:gridCol w:w="17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jc w:val="center"/>
        </w:trPr>
        <w:tc>
          <w:tcPr>
            <w:tcW w:w="6516"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60" w:lineRule="auto"/>
              <w:jc w:val="center"/>
              <w:rPr>
                <w:szCs w:val="21"/>
              </w:rPr>
            </w:pPr>
            <w:r>
              <w:rPr>
                <w:szCs w:val="21"/>
              </w:rPr>
              <w:t>可调节遮阳设施的面积占外窗透明部分比例</w:t>
            </w:r>
            <w:r>
              <w:rPr>
                <w:rFonts w:hint="eastAsia"/>
                <w:i/>
                <w:szCs w:val="21"/>
              </w:rPr>
              <w:t>Sz</w:t>
            </w:r>
          </w:p>
        </w:tc>
        <w:tc>
          <w:tcPr>
            <w:tcW w:w="1780"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60" w:lineRule="auto"/>
              <w:jc w:val="center"/>
              <w:rPr>
                <w:szCs w:val="21"/>
              </w:rPr>
            </w:pPr>
            <w:r>
              <w:rPr>
                <w:szCs w:val="21"/>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jc w:val="center"/>
        </w:trPr>
        <w:tc>
          <w:tcPr>
            <w:tcW w:w="6516"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60" w:lineRule="auto"/>
              <w:jc w:val="center"/>
              <w:rPr>
                <w:szCs w:val="21"/>
              </w:rPr>
            </w:pPr>
            <w:r>
              <w:rPr>
                <w:szCs w:val="21"/>
              </w:rPr>
              <w:t>25％≤</w:t>
            </w:r>
            <w:r>
              <w:rPr>
                <w:rFonts w:hint="eastAsia"/>
                <w:i/>
                <w:szCs w:val="21"/>
              </w:rPr>
              <w:t>Sz</w:t>
            </w:r>
            <w:r>
              <w:rPr>
                <w:szCs w:val="21"/>
              </w:rPr>
              <w:t>＜35％</w:t>
            </w:r>
          </w:p>
        </w:tc>
        <w:tc>
          <w:tcPr>
            <w:tcW w:w="1780"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60" w:lineRule="auto"/>
              <w:jc w:val="center"/>
              <w:rPr>
                <w:szCs w:val="21"/>
              </w:rPr>
            </w:pPr>
            <w:r>
              <w:rPr>
                <w:rFonts w:hint="eastAsia"/>
                <w:szCs w:val="21"/>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jc w:val="center"/>
        </w:trPr>
        <w:tc>
          <w:tcPr>
            <w:tcW w:w="6516"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60" w:lineRule="auto"/>
              <w:jc w:val="center"/>
              <w:rPr>
                <w:szCs w:val="21"/>
              </w:rPr>
            </w:pPr>
            <w:r>
              <w:rPr>
                <w:szCs w:val="21"/>
              </w:rPr>
              <w:t>35％≤</w:t>
            </w:r>
            <w:r>
              <w:rPr>
                <w:rFonts w:hint="eastAsia"/>
                <w:i/>
                <w:szCs w:val="21"/>
              </w:rPr>
              <w:t>Sz</w:t>
            </w:r>
            <w:r>
              <w:rPr>
                <w:szCs w:val="21"/>
              </w:rPr>
              <w:t>＜45％</w:t>
            </w:r>
          </w:p>
        </w:tc>
        <w:tc>
          <w:tcPr>
            <w:tcW w:w="1780"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60" w:lineRule="auto"/>
              <w:jc w:val="center"/>
              <w:rPr>
                <w:szCs w:val="21"/>
              </w:rPr>
            </w:pPr>
            <w:r>
              <w:rPr>
                <w:rFonts w:hint="eastAsia"/>
                <w:szCs w:val="21"/>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jc w:val="center"/>
        </w:trPr>
        <w:tc>
          <w:tcPr>
            <w:tcW w:w="6516"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60" w:lineRule="auto"/>
              <w:jc w:val="center"/>
              <w:rPr>
                <w:szCs w:val="21"/>
              </w:rPr>
            </w:pPr>
            <w:r>
              <w:rPr>
                <w:szCs w:val="21"/>
              </w:rPr>
              <w:t>45％≤</w:t>
            </w:r>
            <w:r>
              <w:rPr>
                <w:rFonts w:hint="eastAsia"/>
                <w:i/>
                <w:szCs w:val="21"/>
              </w:rPr>
              <w:t>Sz</w:t>
            </w:r>
            <w:r>
              <w:rPr>
                <w:szCs w:val="21"/>
              </w:rPr>
              <w:t>＜55％</w:t>
            </w:r>
          </w:p>
        </w:tc>
        <w:tc>
          <w:tcPr>
            <w:tcW w:w="1780"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60" w:lineRule="auto"/>
              <w:jc w:val="center"/>
              <w:rPr>
                <w:szCs w:val="21"/>
              </w:rPr>
            </w:pPr>
            <w:r>
              <w:rPr>
                <w:rFonts w:hint="eastAsia"/>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jc w:val="center"/>
        </w:trPr>
        <w:tc>
          <w:tcPr>
            <w:tcW w:w="6516"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60" w:lineRule="auto"/>
              <w:jc w:val="center"/>
              <w:rPr>
                <w:szCs w:val="21"/>
              </w:rPr>
            </w:pPr>
            <w:r>
              <w:rPr>
                <w:rFonts w:hint="eastAsia"/>
                <w:i/>
                <w:szCs w:val="21"/>
              </w:rPr>
              <w:t>Sz</w:t>
            </w:r>
            <w:r>
              <w:rPr>
                <w:szCs w:val="21"/>
              </w:rPr>
              <w:t>≥55％</w:t>
            </w:r>
          </w:p>
        </w:tc>
        <w:tc>
          <w:tcPr>
            <w:tcW w:w="1780"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60" w:lineRule="auto"/>
              <w:jc w:val="center"/>
              <w:rPr>
                <w:szCs w:val="21"/>
              </w:rPr>
            </w:pPr>
            <w:r>
              <w:rPr>
                <w:rFonts w:hint="eastAsia"/>
                <w:szCs w:val="21"/>
              </w:rPr>
              <w:t>6</w:t>
            </w:r>
          </w:p>
        </w:tc>
      </w:tr>
    </w:tbl>
    <w:p>
      <w:pPr>
        <w:pStyle w:val="26"/>
        <w:spacing w:line="360" w:lineRule="auto"/>
        <w:ind w:left="660" w:leftChars="200" w:hanging="240" w:hangingChars="100"/>
        <w:outlineLvl w:val="9"/>
        <w:rPr>
          <w:szCs w:val="24"/>
        </w:rPr>
        <w:sectPr>
          <w:type w:val="continuous"/>
          <w:pgSz w:w="11907" w:h="16839"/>
          <w:pgMar w:top="851" w:right="907" w:bottom="851" w:left="1418" w:header="851" w:footer="851" w:gutter="0"/>
          <w:cols w:space="720" w:num="1"/>
          <w:docGrid w:type="lines" w:linePitch="312" w:charSpace="0"/>
        </w:sectPr>
      </w:pPr>
    </w:p>
    <w:p>
      <w:pPr>
        <w:rPr>
          <w:rFonts w:hint="eastAsia"/>
        </w:rPr>
      </w:pPr>
      <w:bookmarkStart w:id="102" w:name="_Toc24542994"/>
    </w:p>
    <w:p>
      <w:pPr>
        <w:ind w:left="476" w:leftChars="150" w:hanging="161" w:hangingChars="50"/>
        <w:jc w:val="center"/>
        <w:outlineLvl w:val="0"/>
        <w:rPr>
          <w:rFonts w:hint="eastAsia"/>
          <w:b/>
          <w:sz w:val="32"/>
          <w:szCs w:val="32"/>
        </w:rPr>
      </w:pPr>
      <w:r>
        <w:rPr>
          <w:b/>
          <w:sz w:val="32"/>
          <w:szCs w:val="32"/>
        </w:rPr>
        <w:t>6</w:t>
      </w:r>
      <w:r>
        <w:rPr>
          <w:rFonts w:hint="eastAsia"/>
          <w:b/>
          <w:sz w:val="32"/>
          <w:szCs w:val="32"/>
        </w:rPr>
        <w:t xml:space="preserve"> 生 活 便 利</w:t>
      </w:r>
      <w:bookmarkEnd w:id="102"/>
    </w:p>
    <w:p/>
    <w:p>
      <w:pPr>
        <w:spacing w:line="360" w:lineRule="auto"/>
        <w:ind w:left="435" w:leftChars="150" w:hanging="120" w:hangingChars="50"/>
        <w:jc w:val="center"/>
        <w:outlineLvl w:val="1"/>
        <w:rPr>
          <w:rFonts w:hint="eastAsia" w:eastAsia="黑体"/>
          <w:b/>
          <w:sz w:val="24"/>
          <w:szCs w:val="24"/>
        </w:rPr>
      </w:pPr>
      <w:bookmarkStart w:id="103" w:name="_Toc24542995"/>
      <w:r>
        <w:rPr>
          <w:rFonts w:eastAsia="黑体"/>
          <w:b/>
          <w:sz w:val="24"/>
          <w:szCs w:val="24"/>
        </w:rPr>
        <w:t>6.1</w:t>
      </w:r>
      <w:r>
        <w:rPr>
          <w:rFonts w:hint="eastAsia" w:eastAsia="黑体"/>
          <w:b/>
          <w:sz w:val="24"/>
          <w:szCs w:val="24"/>
        </w:rPr>
        <w:t xml:space="preserve"> 控 制 项</w:t>
      </w:r>
      <w:bookmarkEnd w:id="103"/>
    </w:p>
    <w:p/>
    <w:p>
      <w:pPr>
        <w:spacing w:line="360" w:lineRule="auto"/>
        <w:outlineLvl w:val="2"/>
        <w:rPr>
          <w:sz w:val="24"/>
          <w:szCs w:val="24"/>
        </w:rPr>
      </w:pPr>
      <w:r>
        <w:rPr>
          <w:b/>
          <w:sz w:val="24"/>
          <w:szCs w:val="24"/>
        </w:rPr>
        <w:t>6.1.1</w:t>
      </w:r>
      <w:r>
        <w:rPr>
          <w:rFonts w:hint="eastAsia"/>
          <w:sz w:val="24"/>
          <w:szCs w:val="24"/>
        </w:rPr>
        <w:t xml:space="preserve">  建筑、室外场地、公共绿地、城市道路相互之间应设置连贯的无障碍步行系统。</w:t>
      </w:r>
    </w:p>
    <w:p>
      <w:pPr>
        <w:spacing w:line="360" w:lineRule="auto"/>
        <w:outlineLvl w:val="2"/>
        <w:rPr>
          <w:sz w:val="24"/>
          <w:szCs w:val="24"/>
        </w:rPr>
      </w:pPr>
      <w:r>
        <w:rPr>
          <w:b/>
          <w:sz w:val="24"/>
          <w:szCs w:val="24"/>
        </w:rPr>
        <w:t>6.1.2</w:t>
      </w:r>
      <w:r>
        <w:rPr>
          <w:rFonts w:hint="eastAsia"/>
          <w:sz w:val="24"/>
          <w:szCs w:val="24"/>
        </w:rPr>
        <w:t xml:space="preserve">  场地人行出入口500m 内应设有公共交通站点或配备联系公共交通站点的专用接驳车。</w:t>
      </w:r>
    </w:p>
    <w:p>
      <w:pPr>
        <w:spacing w:line="360" w:lineRule="auto"/>
        <w:outlineLvl w:val="2"/>
        <w:rPr>
          <w:sz w:val="24"/>
          <w:szCs w:val="24"/>
        </w:rPr>
      </w:pPr>
      <w:r>
        <w:rPr>
          <w:b/>
          <w:sz w:val="24"/>
          <w:szCs w:val="24"/>
        </w:rPr>
        <w:t>6.1.3</w:t>
      </w:r>
      <w:r>
        <w:rPr>
          <w:sz w:val="24"/>
          <w:szCs w:val="24"/>
        </w:rPr>
        <w:t xml:space="preserve"> </w:t>
      </w:r>
      <w:r>
        <w:rPr>
          <w:rFonts w:hint="eastAsia"/>
          <w:sz w:val="24"/>
          <w:szCs w:val="24"/>
        </w:rPr>
        <w:t xml:space="preserve"> 停车场应具有电动汽车充电设施或具备充电设施的安装条件，并应合理设置电动汽车和无障碍汽车停车位。</w:t>
      </w:r>
    </w:p>
    <w:p>
      <w:pPr>
        <w:spacing w:line="360" w:lineRule="auto"/>
        <w:outlineLvl w:val="2"/>
        <w:rPr>
          <w:sz w:val="24"/>
          <w:szCs w:val="24"/>
        </w:rPr>
      </w:pPr>
      <w:r>
        <w:rPr>
          <w:b/>
          <w:sz w:val="24"/>
          <w:szCs w:val="24"/>
        </w:rPr>
        <w:t>6.1.4</w:t>
      </w:r>
      <w:r>
        <w:rPr>
          <w:rFonts w:hint="eastAsia"/>
          <w:b/>
          <w:sz w:val="24"/>
          <w:szCs w:val="24"/>
        </w:rPr>
        <w:t xml:space="preserve">  </w:t>
      </w:r>
      <w:r>
        <w:rPr>
          <w:rFonts w:hint="eastAsia"/>
          <w:sz w:val="24"/>
          <w:szCs w:val="24"/>
        </w:rPr>
        <w:t>非机动车停车场所应位置合理、方便出入。</w:t>
      </w:r>
    </w:p>
    <w:p>
      <w:pPr>
        <w:spacing w:line="360" w:lineRule="auto"/>
        <w:outlineLvl w:val="2"/>
        <w:rPr>
          <w:sz w:val="24"/>
          <w:szCs w:val="24"/>
        </w:rPr>
      </w:pPr>
      <w:r>
        <w:rPr>
          <w:b/>
          <w:sz w:val="24"/>
          <w:szCs w:val="24"/>
        </w:rPr>
        <w:t>6.1.5</w:t>
      </w:r>
      <w:r>
        <w:rPr>
          <w:rFonts w:hint="eastAsia"/>
          <w:b/>
          <w:sz w:val="24"/>
          <w:szCs w:val="24"/>
        </w:rPr>
        <w:t xml:space="preserve">  </w:t>
      </w:r>
      <w:r>
        <w:rPr>
          <w:rFonts w:hint="eastAsia"/>
          <w:sz w:val="24"/>
          <w:szCs w:val="24"/>
        </w:rPr>
        <w:t>建筑设备管理系统应具有自动监控管理功能。</w:t>
      </w:r>
    </w:p>
    <w:p>
      <w:pPr>
        <w:spacing w:line="360" w:lineRule="auto"/>
        <w:outlineLvl w:val="2"/>
        <w:rPr>
          <w:sz w:val="24"/>
          <w:szCs w:val="24"/>
        </w:rPr>
      </w:pPr>
      <w:r>
        <w:rPr>
          <w:b/>
          <w:sz w:val="24"/>
          <w:szCs w:val="24"/>
        </w:rPr>
        <w:t>6.1.6</w:t>
      </w:r>
      <w:r>
        <w:rPr>
          <w:rFonts w:hint="eastAsia"/>
          <w:sz w:val="24"/>
          <w:szCs w:val="24"/>
        </w:rPr>
        <w:t xml:space="preserve">  建筑应设置信息网络系统。</w:t>
      </w:r>
    </w:p>
    <w:p>
      <w:pPr>
        <w:spacing w:line="360" w:lineRule="auto"/>
        <w:ind w:left="435" w:leftChars="150" w:hanging="120" w:hangingChars="50"/>
        <w:jc w:val="center"/>
        <w:outlineLvl w:val="1"/>
        <w:rPr>
          <w:rFonts w:eastAsia="黑体"/>
          <w:b/>
          <w:sz w:val="24"/>
          <w:szCs w:val="24"/>
        </w:rPr>
      </w:pPr>
      <w:bookmarkStart w:id="104" w:name="_Toc24542996"/>
      <w:r>
        <w:rPr>
          <w:rFonts w:eastAsia="黑体"/>
          <w:b/>
          <w:sz w:val="24"/>
          <w:szCs w:val="24"/>
        </w:rPr>
        <w:t>6.2</w:t>
      </w:r>
      <w:r>
        <w:rPr>
          <w:rFonts w:hint="eastAsia" w:eastAsia="黑体"/>
          <w:b/>
          <w:sz w:val="24"/>
          <w:szCs w:val="24"/>
        </w:rPr>
        <w:t xml:space="preserve"> 评 分 项</w:t>
      </w:r>
      <w:bookmarkEnd w:id="104"/>
    </w:p>
    <w:p>
      <w:pPr>
        <w:spacing w:line="360" w:lineRule="auto"/>
        <w:ind w:left="435" w:leftChars="150" w:hanging="120" w:hangingChars="50"/>
        <w:jc w:val="center"/>
        <w:rPr>
          <w:rFonts w:eastAsia="仿宋"/>
          <w:b/>
          <w:sz w:val="24"/>
          <w:szCs w:val="24"/>
        </w:rPr>
      </w:pPr>
      <w:r>
        <w:rPr>
          <w:rFonts w:hint="eastAsia" w:eastAsia="仿宋"/>
          <w:b/>
          <w:sz w:val="24"/>
          <w:szCs w:val="24"/>
        </w:rPr>
        <w:t>Ⅰ 出行与无障碍</w:t>
      </w:r>
    </w:p>
    <w:p>
      <w:pPr>
        <w:spacing w:line="360" w:lineRule="auto"/>
        <w:outlineLvl w:val="2"/>
        <w:rPr>
          <w:sz w:val="24"/>
          <w:szCs w:val="24"/>
        </w:rPr>
      </w:pPr>
      <w:r>
        <w:rPr>
          <w:b/>
          <w:sz w:val="24"/>
          <w:szCs w:val="24"/>
        </w:rPr>
        <w:t>6.2.1</w:t>
      </w:r>
      <w:r>
        <w:rPr>
          <w:rFonts w:hint="eastAsia"/>
          <w:sz w:val="24"/>
          <w:szCs w:val="24"/>
        </w:rPr>
        <w:t xml:space="preserve">  场地与公共交通站点联系便捷，评价总分值为8分，并按下列规则分别评分并累计：</w:t>
      </w:r>
    </w:p>
    <w:p>
      <w:pPr>
        <w:spacing w:line="360" w:lineRule="auto"/>
        <w:ind w:firstLine="482" w:firstLineChars="200"/>
        <w:rPr>
          <w:sz w:val="24"/>
          <w:szCs w:val="24"/>
        </w:rPr>
      </w:pPr>
      <w:r>
        <w:rPr>
          <w:b/>
          <w:sz w:val="24"/>
          <w:szCs w:val="24"/>
        </w:rPr>
        <w:t>1</w:t>
      </w:r>
      <w:r>
        <w:rPr>
          <w:rFonts w:hint="eastAsia"/>
          <w:sz w:val="24"/>
          <w:szCs w:val="24"/>
        </w:rPr>
        <w:t xml:space="preserve"> 场地出入口到达公共交通站点的步行距离不超过500m,或到达轨道交通站的步行距离不大于800m, 得2 分；场地出入口到达公共交通站点的步行距离不超过300m, 或到达轨道交通站的步行距离不大于500m, 得4 分；</w:t>
      </w:r>
    </w:p>
    <w:p>
      <w:pPr>
        <w:spacing w:line="360" w:lineRule="auto"/>
        <w:ind w:firstLine="482" w:firstLineChars="200"/>
        <w:rPr>
          <w:sz w:val="24"/>
          <w:szCs w:val="24"/>
        </w:rPr>
      </w:pPr>
      <w:r>
        <w:rPr>
          <w:b/>
          <w:sz w:val="24"/>
          <w:szCs w:val="24"/>
        </w:rPr>
        <w:t>2</w:t>
      </w:r>
      <w:r>
        <w:rPr>
          <w:rFonts w:hint="eastAsia"/>
          <w:sz w:val="24"/>
          <w:szCs w:val="24"/>
        </w:rPr>
        <w:t xml:space="preserve"> 场地出入口步行距离800m 范围内设有不少于2 条线路的公共交通站点，得4 分。</w:t>
      </w:r>
    </w:p>
    <w:p>
      <w:pPr>
        <w:spacing w:line="360" w:lineRule="auto"/>
        <w:outlineLvl w:val="2"/>
        <w:rPr>
          <w:sz w:val="24"/>
          <w:szCs w:val="24"/>
        </w:rPr>
      </w:pPr>
      <w:r>
        <w:rPr>
          <w:b/>
          <w:sz w:val="24"/>
          <w:szCs w:val="24"/>
        </w:rPr>
        <w:t>6.2.2</w:t>
      </w:r>
      <w:r>
        <w:rPr>
          <w:rFonts w:hint="eastAsia"/>
          <w:sz w:val="24"/>
          <w:szCs w:val="24"/>
        </w:rPr>
        <w:t xml:space="preserve">  建筑室内外公共区域满足全龄化设计要求，评价总分值为8分，并按下列规则分别评分并累计：</w:t>
      </w:r>
    </w:p>
    <w:p>
      <w:pPr>
        <w:spacing w:line="360" w:lineRule="auto"/>
        <w:ind w:firstLine="482" w:firstLineChars="200"/>
        <w:rPr>
          <w:sz w:val="24"/>
          <w:szCs w:val="24"/>
        </w:rPr>
      </w:pPr>
      <w:r>
        <w:rPr>
          <w:b/>
          <w:sz w:val="24"/>
          <w:szCs w:val="24"/>
        </w:rPr>
        <w:t>1</w:t>
      </w:r>
      <w:r>
        <w:rPr>
          <w:rFonts w:hint="eastAsia"/>
          <w:sz w:val="24"/>
          <w:szCs w:val="24"/>
        </w:rPr>
        <w:t xml:space="preserve"> 建筑室内公共区域、室外公共活动场地及道路均满足无障碍设计要求，得3分；</w:t>
      </w:r>
    </w:p>
    <w:p>
      <w:pPr>
        <w:spacing w:line="360" w:lineRule="auto"/>
        <w:ind w:firstLine="482" w:firstLineChars="200"/>
        <w:rPr>
          <w:sz w:val="24"/>
          <w:szCs w:val="24"/>
        </w:rPr>
      </w:pPr>
      <w:r>
        <w:rPr>
          <w:b/>
          <w:sz w:val="24"/>
          <w:szCs w:val="24"/>
        </w:rPr>
        <w:t>2</w:t>
      </w:r>
      <w:r>
        <w:rPr>
          <w:rFonts w:hint="eastAsia"/>
          <w:sz w:val="24"/>
          <w:szCs w:val="24"/>
        </w:rPr>
        <w:t xml:space="preserve"> 建筑室内公共区域的墙、柱等处的阳角均为圆角，并设有安全抓杆或扶手，得2分；</w:t>
      </w:r>
    </w:p>
    <w:p>
      <w:pPr>
        <w:spacing w:line="360" w:lineRule="auto"/>
        <w:ind w:firstLine="482" w:firstLineChars="200"/>
        <w:rPr>
          <w:rFonts w:hint="eastAsia"/>
          <w:sz w:val="24"/>
          <w:szCs w:val="24"/>
        </w:rPr>
      </w:pPr>
      <w:r>
        <w:rPr>
          <w:b/>
          <w:sz w:val="24"/>
          <w:szCs w:val="24"/>
        </w:rPr>
        <w:t>3</w:t>
      </w:r>
      <w:r>
        <w:rPr>
          <w:rFonts w:hint="eastAsia"/>
          <w:b/>
          <w:sz w:val="24"/>
          <w:szCs w:val="24"/>
        </w:rPr>
        <w:t xml:space="preserve"> </w:t>
      </w:r>
      <w:r>
        <w:rPr>
          <w:rFonts w:hint="eastAsia"/>
          <w:sz w:val="24"/>
          <w:szCs w:val="24"/>
        </w:rPr>
        <w:t>设置无障碍楼梯，得1分；设有可容纳担架的无障碍电梯，得2分。</w:t>
      </w:r>
    </w:p>
    <w:p>
      <w:pPr>
        <w:spacing w:line="360" w:lineRule="auto"/>
        <w:ind w:firstLine="480" w:firstLineChars="200"/>
        <w:rPr>
          <w:sz w:val="24"/>
          <w:szCs w:val="24"/>
        </w:rPr>
      </w:pPr>
    </w:p>
    <w:p>
      <w:pPr>
        <w:spacing w:line="360" w:lineRule="auto"/>
        <w:ind w:left="435" w:leftChars="150" w:hanging="120" w:hangingChars="50"/>
        <w:jc w:val="center"/>
        <w:rPr>
          <w:rFonts w:eastAsia="仿宋"/>
          <w:b/>
          <w:sz w:val="24"/>
          <w:szCs w:val="24"/>
        </w:rPr>
      </w:pPr>
      <w:r>
        <w:rPr>
          <w:rFonts w:hint="eastAsia" w:eastAsia="仿宋"/>
          <w:b/>
          <w:sz w:val="24"/>
          <w:szCs w:val="24"/>
        </w:rPr>
        <w:t>Ⅱ 服务设施</w:t>
      </w:r>
    </w:p>
    <w:p>
      <w:pPr>
        <w:spacing w:line="360" w:lineRule="auto"/>
        <w:outlineLvl w:val="2"/>
        <w:rPr>
          <w:sz w:val="24"/>
          <w:szCs w:val="24"/>
        </w:rPr>
      </w:pPr>
      <w:r>
        <w:rPr>
          <w:b/>
          <w:sz w:val="24"/>
          <w:szCs w:val="24"/>
        </w:rPr>
        <w:t>6.2.3</w:t>
      </w:r>
      <w:r>
        <w:rPr>
          <w:rFonts w:hint="eastAsia"/>
          <w:sz w:val="24"/>
          <w:szCs w:val="24"/>
        </w:rPr>
        <w:t xml:space="preserve">  提供便利的公共服务，评价总分值为10分，并按下列规则评分：</w:t>
      </w:r>
    </w:p>
    <w:p>
      <w:pPr>
        <w:spacing w:line="360" w:lineRule="auto"/>
        <w:ind w:firstLine="482" w:firstLineChars="200"/>
        <w:rPr>
          <w:sz w:val="24"/>
          <w:szCs w:val="24"/>
        </w:rPr>
      </w:pPr>
      <w:r>
        <w:rPr>
          <w:b/>
          <w:sz w:val="24"/>
          <w:szCs w:val="24"/>
        </w:rPr>
        <w:t>1</w:t>
      </w:r>
      <w:r>
        <w:rPr>
          <w:rFonts w:hint="eastAsia"/>
          <w:sz w:val="24"/>
          <w:szCs w:val="24"/>
        </w:rPr>
        <w:t xml:space="preserve"> 住宅建筑，满足下列要求中的4项，得5分；满足6项</w:t>
      </w:r>
    </w:p>
    <w:p>
      <w:pPr>
        <w:spacing w:line="360" w:lineRule="auto"/>
        <w:ind w:firstLine="480" w:firstLineChars="200"/>
        <w:rPr>
          <w:sz w:val="24"/>
          <w:szCs w:val="24"/>
        </w:rPr>
      </w:pPr>
      <w:r>
        <w:rPr>
          <w:rFonts w:hint="eastAsia"/>
          <w:sz w:val="24"/>
          <w:szCs w:val="24"/>
        </w:rPr>
        <w:t>及以上，得10分。</w:t>
      </w:r>
    </w:p>
    <w:p>
      <w:pPr>
        <w:spacing w:line="360" w:lineRule="auto"/>
        <w:ind w:firstLine="723" w:firstLineChars="300"/>
        <w:rPr>
          <w:sz w:val="24"/>
          <w:szCs w:val="24"/>
        </w:rPr>
      </w:pPr>
      <w:r>
        <w:rPr>
          <w:b/>
          <w:sz w:val="24"/>
          <w:szCs w:val="24"/>
        </w:rPr>
        <w:t>1</w:t>
      </w:r>
      <w:r>
        <w:rPr>
          <w:rFonts w:hint="eastAsia"/>
          <w:sz w:val="24"/>
          <w:szCs w:val="24"/>
        </w:rPr>
        <w:t>) 场地出入口到达幼儿园的步行距离不大于300m；</w:t>
      </w:r>
    </w:p>
    <w:p>
      <w:pPr>
        <w:spacing w:line="360" w:lineRule="auto"/>
        <w:ind w:firstLine="723" w:firstLineChars="300"/>
        <w:rPr>
          <w:sz w:val="24"/>
          <w:szCs w:val="24"/>
        </w:rPr>
      </w:pPr>
      <w:r>
        <w:rPr>
          <w:b/>
          <w:sz w:val="24"/>
          <w:szCs w:val="24"/>
        </w:rPr>
        <w:t>2</w:t>
      </w:r>
      <w:r>
        <w:rPr>
          <w:rFonts w:hint="eastAsia"/>
          <w:sz w:val="24"/>
          <w:szCs w:val="24"/>
        </w:rPr>
        <w:t>) 场地出入口到达小学的步行距离不大于500m；</w:t>
      </w:r>
    </w:p>
    <w:p>
      <w:pPr>
        <w:spacing w:line="360" w:lineRule="auto"/>
        <w:ind w:firstLine="723" w:firstLineChars="300"/>
        <w:rPr>
          <w:sz w:val="24"/>
          <w:szCs w:val="24"/>
        </w:rPr>
      </w:pPr>
      <w:r>
        <w:rPr>
          <w:b/>
          <w:sz w:val="24"/>
          <w:szCs w:val="24"/>
        </w:rPr>
        <w:t>3</w:t>
      </w:r>
      <w:r>
        <w:rPr>
          <w:rFonts w:hint="eastAsia"/>
          <w:sz w:val="24"/>
          <w:szCs w:val="24"/>
        </w:rPr>
        <w:t>) 场地出入口到达中学的步行距离不大于1000m；</w:t>
      </w:r>
    </w:p>
    <w:p>
      <w:pPr>
        <w:spacing w:line="360" w:lineRule="auto"/>
        <w:ind w:firstLine="723" w:firstLineChars="300"/>
        <w:rPr>
          <w:sz w:val="24"/>
          <w:szCs w:val="24"/>
        </w:rPr>
      </w:pPr>
      <w:r>
        <w:rPr>
          <w:b/>
          <w:sz w:val="24"/>
          <w:szCs w:val="24"/>
        </w:rPr>
        <w:t>4</w:t>
      </w:r>
      <w:r>
        <w:rPr>
          <w:rFonts w:hint="eastAsia"/>
          <w:sz w:val="24"/>
          <w:szCs w:val="24"/>
        </w:rPr>
        <w:t>) 场地出入口到达医院的步行距离不大于1000m；</w:t>
      </w:r>
    </w:p>
    <w:p>
      <w:pPr>
        <w:spacing w:line="360" w:lineRule="auto"/>
        <w:ind w:firstLine="723" w:firstLineChars="300"/>
        <w:rPr>
          <w:sz w:val="24"/>
          <w:szCs w:val="24"/>
        </w:rPr>
      </w:pPr>
      <w:r>
        <w:rPr>
          <w:b/>
          <w:sz w:val="24"/>
          <w:szCs w:val="24"/>
        </w:rPr>
        <w:t>5</w:t>
      </w:r>
      <w:r>
        <w:rPr>
          <w:rFonts w:hint="eastAsia"/>
          <w:sz w:val="24"/>
          <w:szCs w:val="24"/>
        </w:rPr>
        <w:t>) 场地出入口到达群众文化活动设施的步行距离不大于800m；</w:t>
      </w:r>
    </w:p>
    <w:p>
      <w:pPr>
        <w:spacing w:line="360" w:lineRule="auto"/>
        <w:ind w:left="976" w:leftChars="350" w:hanging="241" w:hangingChars="100"/>
        <w:rPr>
          <w:sz w:val="24"/>
          <w:szCs w:val="24"/>
        </w:rPr>
      </w:pPr>
      <w:r>
        <w:rPr>
          <w:b/>
          <w:sz w:val="24"/>
          <w:szCs w:val="24"/>
        </w:rPr>
        <w:t>6</w:t>
      </w:r>
      <w:r>
        <w:rPr>
          <w:rFonts w:hint="eastAsia"/>
          <w:sz w:val="24"/>
          <w:szCs w:val="24"/>
        </w:rPr>
        <w:t>) 场地出入口到达老年人日间照料设施的步行距离不大于500m；</w:t>
      </w:r>
    </w:p>
    <w:p>
      <w:pPr>
        <w:spacing w:line="360" w:lineRule="auto"/>
        <w:ind w:firstLine="723" w:firstLineChars="300"/>
        <w:rPr>
          <w:sz w:val="24"/>
          <w:szCs w:val="24"/>
        </w:rPr>
      </w:pPr>
      <w:r>
        <w:rPr>
          <w:b/>
          <w:sz w:val="24"/>
          <w:szCs w:val="24"/>
        </w:rPr>
        <w:t>7</w:t>
      </w:r>
      <w:r>
        <w:rPr>
          <w:rFonts w:hint="eastAsia"/>
          <w:b/>
          <w:sz w:val="24"/>
          <w:szCs w:val="24"/>
        </w:rPr>
        <w:t xml:space="preserve">) </w:t>
      </w:r>
      <w:r>
        <w:rPr>
          <w:rFonts w:hint="eastAsia"/>
          <w:sz w:val="24"/>
          <w:szCs w:val="24"/>
        </w:rPr>
        <w:t>场地周边500m范围内具有不少于3种商业服务施。</w:t>
      </w:r>
    </w:p>
    <w:p>
      <w:pPr>
        <w:spacing w:line="360" w:lineRule="auto"/>
        <w:ind w:left="976" w:leftChars="350" w:hanging="241" w:hangingChars="100"/>
        <w:rPr>
          <w:sz w:val="24"/>
          <w:szCs w:val="24"/>
        </w:rPr>
      </w:pPr>
      <w:r>
        <w:rPr>
          <w:b/>
          <w:sz w:val="24"/>
          <w:szCs w:val="24"/>
        </w:rPr>
        <w:t>8</w:t>
      </w:r>
      <w:r>
        <w:rPr>
          <w:rFonts w:hint="eastAsia"/>
          <w:b/>
          <w:sz w:val="24"/>
          <w:szCs w:val="24"/>
        </w:rPr>
        <w:t xml:space="preserve">) </w:t>
      </w:r>
      <w:r>
        <w:rPr>
          <w:rFonts w:hint="eastAsia"/>
          <w:sz w:val="24"/>
          <w:szCs w:val="24"/>
        </w:rPr>
        <w:t>配建停车位100%建设电动自行车充电设施或预留建设安装条件。</w:t>
      </w:r>
    </w:p>
    <w:p>
      <w:pPr>
        <w:spacing w:line="360" w:lineRule="auto"/>
        <w:ind w:firstLine="482" w:firstLineChars="200"/>
        <w:rPr>
          <w:sz w:val="24"/>
          <w:szCs w:val="24"/>
        </w:rPr>
      </w:pPr>
      <w:r>
        <w:rPr>
          <w:b/>
          <w:sz w:val="24"/>
          <w:szCs w:val="24"/>
        </w:rPr>
        <w:t>2</w:t>
      </w:r>
      <w:r>
        <w:rPr>
          <w:rFonts w:hint="eastAsia"/>
          <w:sz w:val="24"/>
          <w:szCs w:val="24"/>
        </w:rPr>
        <w:t xml:space="preserve"> 公共建筑，满足下列要求中的3项，得5分；满足5项，得10分。</w:t>
      </w:r>
    </w:p>
    <w:p>
      <w:pPr>
        <w:spacing w:line="360" w:lineRule="auto"/>
        <w:ind w:firstLine="723" w:firstLineChars="300"/>
        <w:rPr>
          <w:sz w:val="24"/>
          <w:szCs w:val="24"/>
        </w:rPr>
      </w:pPr>
      <w:r>
        <w:rPr>
          <w:b/>
          <w:sz w:val="24"/>
          <w:szCs w:val="24"/>
        </w:rPr>
        <w:t>1</w:t>
      </w:r>
      <w:r>
        <w:rPr>
          <w:rFonts w:hint="eastAsia"/>
          <w:sz w:val="24"/>
          <w:szCs w:val="24"/>
        </w:rPr>
        <w:t>) 建筑内至少兼容2种面向社会的公共服务功能；</w:t>
      </w:r>
    </w:p>
    <w:p>
      <w:pPr>
        <w:spacing w:line="360" w:lineRule="auto"/>
        <w:ind w:firstLine="723" w:firstLineChars="300"/>
        <w:rPr>
          <w:sz w:val="24"/>
          <w:szCs w:val="24"/>
        </w:rPr>
      </w:pPr>
      <w:r>
        <w:rPr>
          <w:b/>
          <w:sz w:val="24"/>
          <w:szCs w:val="24"/>
        </w:rPr>
        <w:t>2</w:t>
      </w:r>
      <w:r>
        <w:rPr>
          <w:rFonts w:hint="eastAsia"/>
          <w:sz w:val="24"/>
          <w:szCs w:val="24"/>
        </w:rPr>
        <w:t>) 建筑向社会公众提供开放的公共活动空间；</w:t>
      </w:r>
    </w:p>
    <w:p>
      <w:pPr>
        <w:spacing w:line="360" w:lineRule="auto"/>
        <w:ind w:left="976" w:leftChars="350" w:hanging="241" w:hangingChars="100"/>
        <w:rPr>
          <w:sz w:val="24"/>
          <w:szCs w:val="24"/>
        </w:rPr>
      </w:pPr>
      <w:r>
        <w:rPr>
          <w:b/>
          <w:sz w:val="24"/>
          <w:szCs w:val="24"/>
        </w:rPr>
        <w:t>3</w:t>
      </w:r>
      <w:r>
        <w:rPr>
          <w:rFonts w:hint="eastAsia"/>
          <w:sz w:val="24"/>
          <w:szCs w:val="24"/>
        </w:rPr>
        <w:t>) 电动汽车充电桩的车位数占总车位数的比例不低于10%；</w:t>
      </w:r>
    </w:p>
    <w:p>
      <w:pPr>
        <w:spacing w:line="360" w:lineRule="auto"/>
        <w:ind w:firstLine="723" w:firstLineChars="300"/>
        <w:rPr>
          <w:sz w:val="24"/>
          <w:szCs w:val="24"/>
        </w:rPr>
      </w:pPr>
      <w:r>
        <w:rPr>
          <w:b/>
          <w:sz w:val="24"/>
          <w:szCs w:val="24"/>
        </w:rPr>
        <w:t>4</w:t>
      </w:r>
      <w:r>
        <w:rPr>
          <w:rFonts w:hint="eastAsia"/>
          <w:sz w:val="24"/>
          <w:szCs w:val="24"/>
        </w:rPr>
        <w:t>) 周边500m范围内设有社会公共停车场（库）；</w:t>
      </w:r>
    </w:p>
    <w:p>
      <w:pPr>
        <w:spacing w:line="360" w:lineRule="auto"/>
        <w:ind w:firstLine="723" w:firstLineChars="300"/>
        <w:rPr>
          <w:sz w:val="24"/>
          <w:szCs w:val="24"/>
        </w:rPr>
      </w:pPr>
      <w:r>
        <w:rPr>
          <w:b/>
          <w:sz w:val="24"/>
          <w:szCs w:val="24"/>
        </w:rPr>
        <w:t>5</w:t>
      </w:r>
      <w:r>
        <w:rPr>
          <w:rFonts w:hint="eastAsia"/>
          <w:sz w:val="24"/>
          <w:szCs w:val="24"/>
        </w:rPr>
        <w:t>) 场地不封闭或场地内步行公共通道向社会开放；</w:t>
      </w:r>
    </w:p>
    <w:p>
      <w:pPr>
        <w:spacing w:line="360" w:lineRule="auto"/>
        <w:ind w:firstLine="723" w:firstLineChars="300"/>
        <w:rPr>
          <w:rFonts w:hint="eastAsia"/>
          <w:sz w:val="24"/>
          <w:szCs w:val="24"/>
        </w:rPr>
      </w:pPr>
      <w:r>
        <w:rPr>
          <w:b/>
          <w:sz w:val="24"/>
          <w:szCs w:val="24"/>
        </w:rPr>
        <w:t>6</w:t>
      </w:r>
      <w:r>
        <w:rPr>
          <w:rFonts w:hint="eastAsia"/>
          <w:b/>
          <w:sz w:val="24"/>
          <w:szCs w:val="24"/>
        </w:rPr>
        <w:t>）</w:t>
      </w:r>
      <w:r>
        <w:rPr>
          <w:rFonts w:hint="eastAsia"/>
          <w:sz w:val="24"/>
          <w:szCs w:val="24"/>
        </w:rPr>
        <w:t>配建停车位100%建设电动自行车充电设施或预留建设安装条件；</w:t>
      </w:r>
    </w:p>
    <w:p>
      <w:pPr>
        <w:spacing w:line="360" w:lineRule="auto"/>
        <w:outlineLvl w:val="2"/>
        <w:rPr>
          <w:sz w:val="24"/>
          <w:szCs w:val="24"/>
        </w:rPr>
      </w:pPr>
      <w:r>
        <w:rPr>
          <w:b/>
          <w:sz w:val="24"/>
          <w:szCs w:val="24"/>
        </w:rPr>
        <w:t>6.2.4</w:t>
      </w:r>
      <w:r>
        <w:rPr>
          <w:rFonts w:hint="eastAsia"/>
          <w:b/>
          <w:sz w:val="24"/>
          <w:szCs w:val="24"/>
        </w:rPr>
        <w:t xml:space="preserve">  </w:t>
      </w:r>
      <w:r>
        <w:rPr>
          <w:rFonts w:hint="eastAsia"/>
          <w:sz w:val="24"/>
          <w:szCs w:val="24"/>
        </w:rPr>
        <w:t>城市绿地、广场及公共运动场地等开敞空间，步行可达，评价总分值为5分，并按下列规则分别评分并累计：</w:t>
      </w:r>
    </w:p>
    <w:p>
      <w:pPr>
        <w:spacing w:line="360" w:lineRule="auto"/>
        <w:ind w:firstLine="482" w:firstLineChars="200"/>
        <w:rPr>
          <w:sz w:val="24"/>
          <w:szCs w:val="24"/>
        </w:rPr>
      </w:pPr>
      <w:r>
        <w:rPr>
          <w:b/>
          <w:sz w:val="24"/>
          <w:szCs w:val="24"/>
        </w:rPr>
        <w:t>1</w:t>
      </w:r>
      <w:r>
        <w:rPr>
          <w:rFonts w:hint="eastAsia"/>
          <w:sz w:val="24"/>
          <w:szCs w:val="24"/>
        </w:rPr>
        <w:t xml:space="preserve"> 场地出入口到达城市公园绿地、居住区公园、广场的步行距离不大于300m,得3分；</w:t>
      </w:r>
    </w:p>
    <w:p>
      <w:pPr>
        <w:spacing w:line="360" w:lineRule="auto"/>
        <w:ind w:firstLine="482" w:firstLineChars="200"/>
        <w:rPr>
          <w:sz w:val="24"/>
          <w:szCs w:val="24"/>
        </w:rPr>
      </w:pPr>
      <w:r>
        <w:rPr>
          <w:b/>
          <w:sz w:val="24"/>
          <w:szCs w:val="24"/>
        </w:rPr>
        <w:t>2</w:t>
      </w:r>
      <w:r>
        <w:rPr>
          <w:rFonts w:hint="eastAsia"/>
          <w:sz w:val="24"/>
          <w:szCs w:val="24"/>
        </w:rPr>
        <w:t xml:space="preserve"> 到达中型多功能运动场地的步行距离不大于500m,得2分。</w:t>
      </w:r>
    </w:p>
    <w:p>
      <w:pPr>
        <w:spacing w:line="360" w:lineRule="auto"/>
        <w:outlineLvl w:val="2"/>
        <w:rPr>
          <w:sz w:val="24"/>
          <w:szCs w:val="24"/>
        </w:rPr>
      </w:pPr>
      <w:r>
        <w:rPr>
          <w:b/>
          <w:sz w:val="24"/>
          <w:szCs w:val="24"/>
        </w:rPr>
        <w:t>6.2.5</w:t>
      </w:r>
      <w:r>
        <w:rPr>
          <w:sz w:val="24"/>
          <w:szCs w:val="24"/>
        </w:rPr>
        <w:t xml:space="preserve"> </w:t>
      </w:r>
      <w:r>
        <w:rPr>
          <w:rFonts w:hint="eastAsia"/>
          <w:sz w:val="24"/>
          <w:szCs w:val="24"/>
        </w:rPr>
        <w:t xml:space="preserve"> 合理设置健身场地和空间，评价总分值为10分，并按下列规则分别评分并累计：</w:t>
      </w:r>
    </w:p>
    <w:p>
      <w:pPr>
        <w:spacing w:line="360" w:lineRule="auto"/>
        <w:ind w:firstLine="482" w:firstLineChars="200"/>
        <w:rPr>
          <w:sz w:val="24"/>
          <w:szCs w:val="24"/>
        </w:rPr>
      </w:pPr>
      <w:r>
        <w:rPr>
          <w:b/>
          <w:sz w:val="24"/>
          <w:szCs w:val="24"/>
        </w:rPr>
        <w:t>1</w:t>
      </w:r>
      <w:r>
        <w:rPr>
          <w:rFonts w:hint="eastAsia"/>
          <w:sz w:val="24"/>
          <w:szCs w:val="24"/>
        </w:rPr>
        <w:t xml:space="preserve"> 室外健身场地面积不少于总用地面积的0.5%,得3分；</w:t>
      </w:r>
    </w:p>
    <w:p>
      <w:pPr>
        <w:spacing w:line="360" w:lineRule="auto"/>
        <w:ind w:firstLine="482" w:firstLineChars="200"/>
        <w:rPr>
          <w:sz w:val="24"/>
          <w:szCs w:val="24"/>
        </w:rPr>
      </w:pPr>
      <w:r>
        <w:rPr>
          <w:b/>
          <w:sz w:val="24"/>
          <w:szCs w:val="24"/>
        </w:rPr>
        <w:t>2</w:t>
      </w:r>
      <w:r>
        <w:rPr>
          <w:rFonts w:hint="eastAsia"/>
          <w:sz w:val="24"/>
          <w:szCs w:val="24"/>
        </w:rPr>
        <w:t xml:space="preserve"> 设置宽度不少于1.25m的专用健身慢行道，健身慢行道长度不少于用地红线周长的1/4且不少于100m,得2分；</w:t>
      </w:r>
    </w:p>
    <w:p>
      <w:pPr>
        <w:spacing w:line="360" w:lineRule="auto"/>
        <w:ind w:firstLine="482" w:firstLineChars="200"/>
        <w:rPr>
          <w:sz w:val="24"/>
          <w:szCs w:val="24"/>
        </w:rPr>
      </w:pPr>
      <w:r>
        <w:rPr>
          <w:b/>
          <w:sz w:val="24"/>
          <w:szCs w:val="24"/>
        </w:rPr>
        <w:t>3</w:t>
      </w:r>
      <w:r>
        <w:rPr>
          <w:rFonts w:hint="eastAsia"/>
          <w:sz w:val="24"/>
          <w:szCs w:val="24"/>
        </w:rPr>
        <w:t xml:space="preserve"> 室内健身空间的面积不少于地上建筑面积的0.3%且不少于60㎡，得3分；</w:t>
      </w:r>
    </w:p>
    <w:p>
      <w:pPr>
        <w:spacing w:line="360" w:lineRule="auto"/>
        <w:ind w:firstLine="482" w:firstLineChars="200"/>
        <w:rPr>
          <w:rFonts w:hint="eastAsia"/>
          <w:sz w:val="24"/>
          <w:szCs w:val="24"/>
        </w:rPr>
      </w:pPr>
      <w:r>
        <w:rPr>
          <w:b/>
          <w:sz w:val="24"/>
          <w:szCs w:val="24"/>
        </w:rPr>
        <w:t>4</w:t>
      </w:r>
      <w:r>
        <w:rPr>
          <w:rFonts w:hint="eastAsia"/>
          <w:sz w:val="24"/>
          <w:szCs w:val="24"/>
        </w:rPr>
        <w:t xml:space="preserve"> 楼梯间具有天然采光和良好的视野，且距离主入口的距离不大于15m,得2分。</w:t>
      </w:r>
    </w:p>
    <w:p>
      <w:pPr>
        <w:spacing w:line="360" w:lineRule="auto"/>
        <w:ind w:firstLine="480" w:firstLineChars="200"/>
        <w:rPr>
          <w:sz w:val="24"/>
          <w:szCs w:val="24"/>
        </w:rPr>
      </w:pPr>
    </w:p>
    <w:p>
      <w:pPr>
        <w:spacing w:line="360" w:lineRule="auto"/>
        <w:ind w:left="435" w:leftChars="150" w:hanging="120" w:hangingChars="50"/>
        <w:jc w:val="center"/>
        <w:rPr>
          <w:rFonts w:hint="eastAsia" w:eastAsia="仿宋"/>
          <w:b/>
          <w:sz w:val="24"/>
          <w:szCs w:val="24"/>
        </w:rPr>
      </w:pPr>
      <w:r>
        <w:rPr>
          <w:rFonts w:hint="eastAsia" w:eastAsia="仿宋"/>
          <w:b/>
          <w:sz w:val="24"/>
          <w:szCs w:val="24"/>
        </w:rPr>
        <w:t>Ⅲ 智 慧 运 行</w:t>
      </w:r>
    </w:p>
    <w:p>
      <w:pPr>
        <w:spacing w:line="360" w:lineRule="auto"/>
        <w:outlineLvl w:val="2"/>
        <w:rPr>
          <w:sz w:val="24"/>
          <w:szCs w:val="24"/>
        </w:rPr>
      </w:pPr>
      <w:r>
        <w:rPr>
          <w:b/>
          <w:sz w:val="24"/>
          <w:szCs w:val="24"/>
        </w:rPr>
        <w:t>6.2.6</w:t>
      </w:r>
      <w:r>
        <w:rPr>
          <w:rFonts w:hint="eastAsia"/>
          <w:sz w:val="24"/>
          <w:szCs w:val="24"/>
        </w:rPr>
        <w:t xml:space="preserve">  设置分类、分级用能自动远传计量系统，且设置能源管理系统实现对建筑能耗的监测、数据分析和管理，评价分值为8分。</w:t>
      </w:r>
    </w:p>
    <w:p>
      <w:pPr>
        <w:spacing w:line="360" w:lineRule="auto"/>
        <w:outlineLvl w:val="2"/>
        <w:rPr>
          <w:rFonts w:hint="eastAsia"/>
          <w:sz w:val="24"/>
          <w:szCs w:val="24"/>
        </w:rPr>
      </w:pPr>
      <w:r>
        <w:rPr>
          <w:b/>
          <w:sz w:val="24"/>
          <w:szCs w:val="24"/>
        </w:rPr>
        <w:t>6.2.7</w:t>
      </w:r>
      <w:r>
        <w:rPr>
          <w:sz w:val="24"/>
          <w:szCs w:val="24"/>
        </w:rPr>
        <w:t xml:space="preserve"> </w:t>
      </w:r>
      <w:r>
        <w:rPr>
          <w:rFonts w:hint="eastAsia"/>
          <w:sz w:val="24"/>
          <w:szCs w:val="24"/>
        </w:rPr>
        <w:t xml:space="preserve"> 设置PM10、PM2.5、CO2浓度的空气质量监测系统，且具有存储至少一年的监测数据和实时显示等功能，评价分值为5分。</w:t>
      </w:r>
    </w:p>
    <w:p>
      <w:pPr>
        <w:spacing w:line="360" w:lineRule="auto"/>
        <w:outlineLvl w:val="2"/>
        <w:rPr>
          <w:sz w:val="24"/>
          <w:szCs w:val="24"/>
        </w:rPr>
      </w:pPr>
      <w:r>
        <w:rPr>
          <w:b/>
          <w:sz w:val="24"/>
          <w:szCs w:val="24"/>
        </w:rPr>
        <w:t>6.2.8</w:t>
      </w:r>
      <w:r>
        <w:rPr>
          <w:sz w:val="24"/>
          <w:szCs w:val="24"/>
        </w:rPr>
        <w:t xml:space="preserve"> </w:t>
      </w:r>
      <w:r>
        <w:rPr>
          <w:rFonts w:hint="eastAsia"/>
          <w:sz w:val="24"/>
          <w:szCs w:val="24"/>
        </w:rPr>
        <w:t xml:space="preserve"> 设置用水远传计量系统、水质在线监测系统，评价总分值为7分，并按下列规则分别评分并累计：</w:t>
      </w:r>
    </w:p>
    <w:p>
      <w:pPr>
        <w:spacing w:line="360" w:lineRule="auto"/>
        <w:ind w:firstLine="723" w:firstLineChars="300"/>
        <w:rPr>
          <w:sz w:val="24"/>
          <w:szCs w:val="24"/>
        </w:rPr>
      </w:pPr>
      <w:r>
        <w:rPr>
          <w:b/>
          <w:sz w:val="24"/>
          <w:szCs w:val="24"/>
        </w:rPr>
        <w:t>1</w:t>
      </w:r>
      <w:r>
        <w:rPr>
          <w:rFonts w:hint="eastAsia"/>
          <w:sz w:val="24"/>
          <w:szCs w:val="24"/>
        </w:rPr>
        <w:t xml:space="preserve"> 设置用水量远传计量系统，能分类、分级记录、统计分析各种用水情况，得3分；</w:t>
      </w:r>
    </w:p>
    <w:p>
      <w:pPr>
        <w:spacing w:line="360" w:lineRule="auto"/>
        <w:ind w:firstLine="723" w:firstLineChars="300"/>
        <w:rPr>
          <w:sz w:val="24"/>
          <w:szCs w:val="24"/>
        </w:rPr>
      </w:pPr>
      <w:r>
        <w:rPr>
          <w:b/>
          <w:sz w:val="24"/>
          <w:szCs w:val="24"/>
        </w:rPr>
        <w:t>2</w:t>
      </w:r>
      <w:r>
        <w:rPr>
          <w:sz w:val="24"/>
          <w:szCs w:val="24"/>
        </w:rPr>
        <w:t xml:space="preserve"> </w:t>
      </w:r>
      <w:r>
        <w:rPr>
          <w:rFonts w:hint="eastAsia"/>
          <w:sz w:val="24"/>
          <w:szCs w:val="24"/>
        </w:rPr>
        <w:t>利用计量数据进行管网漏损自动检测、分析与整改，管道漏损率低于5%,得2分；</w:t>
      </w:r>
    </w:p>
    <w:p>
      <w:pPr>
        <w:spacing w:line="360" w:lineRule="auto"/>
        <w:ind w:firstLine="723" w:firstLineChars="300"/>
        <w:rPr>
          <w:sz w:val="24"/>
          <w:szCs w:val="24"/>
        </w:rPr>
      </w:pPr>
      <w:r>
        <w:rPr>
          <w:b/>
          <w:sz w:val="24"/>
          <w:szCs w:val="24"/>
        </w:rPr>
        <w:t>3</w:t>
      </w:r>
      <w:r>
        <w:rPr>
          <w:rFonts w:hint="eastAsia"/>
          <w:sz w:val="24"/>
          <w:szCs w:val="24"/>
        </w:rPr>
        <w:t xml:space="preserve"> 设置水质在线监测系统，监测生活饮用水、管道直饮水、游泳池水、非传统水源、空调冷却水的水质指标，记录并保存水质监测结果，且能随时供用户查询，得2分。</w:t>
      </w:r>
    </w:p>
    <w:p>
      <w:pPr>
        <w:spacing w:line="360" w:lineRule="auto"/>
        <w:outlineLvl w:val="2"/>
        <w:rPr>
          <w:sz w:val="24"/>
          <w:szCs w:val="24"/>
        </w:rPr>
      </w:pPr>
      <w:r>
        <w:rPr>
          <w:b/>
          <w:sz w:val="24"/>
          <w:szCs w:val="24"/>
        </w:rPr>
        <w:t>6.2.9</w:t>
      </w:r>
      <w:r>
        <w:rPr>
          <w:sz w:val="24"/>
          <w:szCs w:val="24"/>
        </w:rPr>
        <w:t xml:space="preserve"> </w:t>
      </w:r>
      <w:r>
        <w:rPr>
          <w:rFonts w:hint="eastAsia"/>
          <w:sz w:val="24"/>
          <w:szCs w:val="24"/>
        </w:rPr>
        <w:t xml:space="preserve"> 具有智能化服务系统，评价总分值为9分，并按下列规则分别评分并累计：</w:t>
      </w:r>
    </w:p>
    <w:p>
      <w:pPr>
        <w:spacing w:line="360" w:lineRule="auto"/>
        <w:ind w:firstLine="723" w:firstLineChars="300"/>
        <w:rPr>
          <w:sz w:val="24"/>
          <w:szCs w:val="24"/>
        </w:rPr>
      </w:pPr>
      <w:r>
        <w:rPr>
          <w:b/>
          <w:sz w:val="24"/>
          <w:szCs w:val="24"/>
        </w:rPr>
        <w:t>1</w:t>
      </w:r>
      <w:r>
        <w:rPr>
          <w:rFonts w:hint="eastAsia"/>
          <w:sz w:val="24"/>
          <w:szCs w:val="24"/>
        </w:rPr>
        <w:t xml:space="preserve"> 具有家电控制、照明控制、安全报警、环境监测、建筑设备控制、工作生活服务等至少3种类型的服务功能，得3分；</w:t>
      </w:r>
    </w:p>
    <w:p>
      <w:pPr>
        <w:spacing w:line="360" w:lineRule="auto"/>
        <w:ind w:firstLine="723" w:firstLineChars="300"/>
        <w:rPr>
          <w:rFonts w:hint="eastAsia"/>
          <w:sz w:val="24"/>
          <w:szCs w:val="24"/>
        </w:rPr>
      </w:pPr>
      <w:r>
        <w:rPr>
          <w:b/>
          <w:sz w:val="24"/>
          <w:szCs w:val="24"/>
        </w:rPr>
        <w:t>2</w:t>
      </w:r>
      <w:r>
        <w:rPr>
          <w:rFonts w:hint="eastAsia"/>
          <w:sz w:val="24"/>
          <w:szCs w:val="24"/>
        </w:rPr>
        <w:t xml:space="preserve"> 具有远程监控的功能，得2分；</w:t>
      </w:r>
    </w:p>
    <w:p>
      <w:pPr>
        <w:spacing w:line="360" w:lineRule="auto"/>
        <w:ind w:firstLine="720" w:firstLineChars="300"/>
        <w:rPr>
          <w:rFonts w:hint="eastAsia"/>
          <w:sz w:val="24"/>
          <w:szCs w:val="24"/>
        </w:rPr>
      </w:pPr>
      <w:r>
        <w:rPr>
          <w:rFonts w:hint="eastAsia"/>
          <w:sz w:val="24"/>
          <w:szCs w:val="24"/>
        </w:rPr>
        <w:t>3 具有接入智慧城市（城区、社区）的功能，得2分。</w:t>
      </w:r>
    </w:p>
    <w:p>
      <w:pPr>
        <w:spacing w:line="360" w:lineRule="auto"/>
        <w:ind w:firstLine="720" w:firstLineChars="300"/>
        <w:rPr>
          <w:rFonts w:hint="eastAsia"/>
          <w:bCs/>
          <w:snapToGrid w:val="0"/>
          <w:sz w:val="24"/>
          <w:szCs w:val="24"/>
        </w:rPr>
      </w:pPr>
      <w:r>
        <w:rPr>
          <w:rFonts w:hint="eastAsia"/>
          <w:sz w:val="24"/>
          <w:szCs w:val="24"/>
        </w:rPr>
        <w:t>4 具有物业管理、停车库（场）管理、信息导引及发布系统等智能化系统，得2分。</w:t>
      </w:r>
    </w:p>
    <w:p>
      <w:pPr>
        <w:spacing w:line="360" w:lineRule="auto"/>
        <w:ind w:firstLine="480" w:firstLineChars="200"/>
        <w:rPr>
          <w:sz w:val="24"/>
          <w:szCs w:val="24"/>
        </w:rPr>
      </w:pPr>
    </w:p>
    <w:p>
      <w:pPr>
        <w:spacing w:line="360" w:lineRule="auto"/>
        <w:ind w:left="435" w:leftChars="150" w:hanging="120" w:hangingChars="50"/>
        <w:jc w:val="center"/>
        <w:rPr>
          <w:rFonts w:eastAsia="仿宋"/>
          <w:b/>
          <w:sz w:val="24"/>
          <w:szCs w:val="24"/>
        </w:rPr>
      </w:pPr>
      <w:r>
        <w:rPr>
          <w:rFonts w:hint="eastAsia" w:eastAsia="仿宋"/>
          <w:b/>
          <w:sz w:val="24"/>
          <w:szCs w:val="24"/>
        </w:rPr>
        <w:t>Ⅳ 物业管理</w:t>
      </w:r>
    </w:p>
    <w:p>
      <w:pPr>
        <w:spacing w:line="360" w:lineRule="auto"/>
        <w:outlineLvl w:val="2"/>
        <w:rPr>
          <w:sz w:val="24"/>
          <w:szCs w:val="24"/>
        </w:rPr>
      </w:pPr>
      <w:r>
        <w:rPr>
          <w:b/>
          <w:sz w:val="24"/>
          <w:szCs w:val="24"/>
        </w:rPr>
        <w:t>6.2.10</w:t>
      </w:r>
      <w:r>
        <w:rPr>
          <w:rFonts w:hint="eastAsia"/>
          <w:sz w:val="24"/>
          <w:szCs w:val="24"/>
        </w:rPr>
        <w:t xml:space="preserve">  制定完善的节能、节水、节材、绿化的操作规程、应急预案，实施能源资源管理激励机制，且有效实施，评价总分值为5分，并按下列规则分别评分并累计：</w:t>
      </w:r>
    </w:p>
    <w:p>
      <w:pPr>
        <w:spacing w:line="360" w:lineRule="auto"/>
        <w:ind w:firstLine="482" w:firstLineChars="200"/>
        <w:rPr>
          <w:sz w:val="24"/>
          <w:szCs w:val="24"/>
        </w:rPr>
      </w:pPr>
      <w:r>
        <w:rPr>
          <w:b/>
          <w:sz w:val="24"/>
          <w:szCs w:val="24"/>
        </w:rPr>
        <w:t>1</w:t>
      </w:r>
      <w:r>
        <w:rPr>
          <w:rFonts w:hint="eastAsia"/>
          <w:sz w:val="24"/>
          <w:szCs w:val="24"/>
        </w:rPr>
        <w:t xml:space="preserve"> 相关设施具有完善的操作规程和应急预案，得2分；</w:t>
      </w:r>
    </w:p>
    <w:p>
      <w:pPr>
        <w:spacing w:line="360" w:lineRule="auto"/>
        <w:ind w:firstLine="482" w:firstLineChars="200"/>
        <w:rPr>
          <w:sz w:val="24"/>
          <w:szCs w:val="24"/>
        </w:rPr>
      </w:pPr>
      <w:r>
        <w:rPr>
          <w:b/>
          <w:sz w:val="24"/>
          <w:szCs w:val="24"/>
        </w:rPr>
        <w:t>2</w:t>
      </w:r>
      <w:r>
        <w:rPr>
          <w:rFonts w:hint="eastAsia"/>
          <w:sz w:val="24"/>
          <w:szCs w:val="24"/>
        </w:rPr>
        <w:t xml:space="preserve"> 物业管理机构的工作考核体系中包含节能和节水绩效考核激励机制，得3分。</w:t>
      </w:r>
    </w:p>
    <w:p>
      <w:pPr>
        <w:spacing w:line="360" w:lineRule="auto"/>
        <w:outlineLvl w:val="2"/>
        <w:rPr>
          <w:sz w:val="24"/>
          <w:szCs w:val="24"/>
        </w:rPr>
      </w:pPr>
      <w:r>
        <w:rPr>
          <w:b/>
          <w:sz w:val="24"/>
          <w:szCs w:val="24"/>
        </w:rPr>
        <w:t>6.2.11</w:t>
      </w:r>
      <w:r>
        <w:rPr>
          <w:rFonts w:hint="eastAsia"/>
          <w:sz w:val="24"/>
          <w:szCs w:val="24"/>
        </w:rPr>
        <w:t xml:space="preserve">  建筑平均日用水量满足现行国家标准《民用建筑节水设计标准》GB50555中节水用水定额的要求，评价总分值为5分，并按下列规则评分：</w:t>
      </w:r>
    </w:p>
    <w:p>
      <w:pPr>
        <w:spacing w:line="360" w:lineRule="auto"/>
        <w:ind w:firstLine="482" w:firstLineChars="200"/>
        <w:rPr>
          <w:sz w:val="24"/>
          <w:szCs w:val="24"/>
        </w:rPr>
      </w:pPr>
      <w:r>
        <w:rPr>
          <w:b/>
          <w:sz w:val="24"/>
          <w:szCs w:val="24"/>
        </w:rPr>
        <w:t>1</w:t>
      </w:r>
      <w:r>
        <w:rPr>
          <w:rFonts w:hint="eastAsia"/>
          <w:sz w:val="24"/>
          <w:szCs w:val="24"/>
        </w:rPr>
        <w:t xml:space="preserve"> 平均日用水量大于节水用水定额的平均值、不大于上限值，得2分。</w:t>
      </w:r>
    </w:p>
    <w:p>
      <w:pPr>
        <w:spacing w:line="360" w:lineRule="auto"/>
        <w:ind w:firstLine="482" w:firstLineChars="200"/>
        <w:rPr>
          <w:sz w:val="24"/>
          <w:szCs w:val="24"/>
        </w:rPr>
      </w:pPr>
      <w:r>
        <w:rPr>
          <w:b/>
          <w:sz w:val="24"/>
          <w:szCs w:val="24"/>
        </w:rPr>
        <w:t>2</w:t>
      </w:r>
      <w:r>
        <w:rPr>
          <w:rFonts w:hint="eastAsia"/>
          <w:sz w:val="24"/>
          <w:szCs w:val="24"/>
        </w:rPr>
        <w:t xml:space="preserve"> 平均日用水量大于节水用水定额下限值、不大于平均值，得3分。</w:t>
      </w:r>
    </w:p>
    <w:p>
      <w:pPr>
        <w:spacing w:line="360" w:lineRule="auto"/>
        <w:ind w:firstLine="482" w:firstLineChars="200"/>
        <w:rPr>
          <w:sz w:val="24"/>
          <w:szCs w:val="24"/>
        </w:rPr>
      </w:pPr>
      <w:r>
        <w:rPr>
          <w:b/>
          <w:sz w:val="24"/>
          <w:szCs w:val="24"/>
        </w:rPr>
        <w:t>3</w:t>
      </w:r>
      <w:r>
        <w:rPr>
          <w:rFonts w:hint="eastAsia"/>
          <w:sz w:val="24"/>
          <w:szCs w:val="24"/>
        </w:rPr>
        <w:t xml:space="preserve"> 平均日用水量不大于节水用水定额下限值，得5分。</w:t>
      </w:r>
    </w:p>
    <w:p>
      <w:pPr>
        <w:spacing w:line="360" w:lineRule="auto"/>
        <w:outlineLvl w:val="2"/>
        <w:rPr>
          <w:sz w:val="24"/>
          <w:szCs w:val="24"/>
        </w:rPr>
      </w:pPr>
      <w:r>
        <w:rPr>
          <w:b/>
          <w:sz w:val="24"/>
          <w:szCs w:val="24"/>
        </w:rPr>
        <w:t>6.2.12</w:t>
      </w:r>
      <w:r>
        <w:rPr>
          <w:rFonts w:hint="eastAsia"/>
          <w:sz w:val="24"/>
          <w:szCs w:val="24"/>
        </w:rPr>
        <w:t xml:space="preserve">  定期对建筑运营效果进行评估，并根据结果进行运行优化，评价总分值为12分，并按下列规则分别评分并累计：</w:t>
      </w:r>
    </w:p>
    <w:p>
      <w:pPr>
        <w:spacing w:line="360" w:lineRule="auto"/>
        <w:ind w:firstLine="482" w:firstLineChars="200"/>
        <w:rPr>
          <w:sz w:val="24"/>
          <w:szCs w:val="24"/>
        </w:rPr>
      </w:pPr>
      <w:r>
        <w:rPr>
          <w:b/>
          <w:sz w:val="24"/>
          <w:szCs w:val="24"/>
        </w:rPr>
        <w:t>1</w:t>
      </w:r>
      <w:r>
        <w:rPr>
          <w:rFonts w:hint="eastAsia"/>
          <w:sz w:val="24"/>
          <w:szCs w:val="24"/>
        </w:rPr>
        <w:t xml:space="preserve"> 制定绿色建筑运营效果评估的技术方案和计划，得3分；</w:t>
      </w:r>
    </w:p>
    <w:p>
      <w:pPr>
        <w:spacing w:line="360" w:lineRule="auto"/>
        <w:ind w:firstLine="482" w:firstLineChars="200"/>
        <w:rPr>
          <w:sz w:val="24"/>
          <w:szCs w:val="24"/>
        </w:rPr>
      </w:pPr>
      <w:r>
        <w:rPr>
          <w:b/>
          <w:sz w:val="24"/>
          <w:szCs w:val="24"/>
        </w:rPr>
        <w:t>2</w:t>
      </w:r>
      <w:r>
        <w:rPr>
          <w:rFonts w:hint="eastAsia"/>
          <w:sz w:val="24"/>
          <w:szCs w:val="24"/>
        </w:rPr>
        <w:t xml:space="preserve"> 定期检查、调适公共设施设备，具有检查、调试、运行、标定的记录，且记录完整，得3分；</w:t>
      </w:r>
    </w:p>
    <w:p>
      <w:pPr>
        <w:spacing w:line="360" w:lineRule="auto"/>
        <w:ind w:firstLine="482" w:firstLineChars="200"/>
        <w:rPr>
          <w:sz w:val="24"/>
          <w:szCs w:val="24"/>
        </w:rPr>
      </w:pPr>
      <w:r>
        <w:rPr>
          <w:b/>
          <w:sz w:val="24"/>
          <w:szCs w:val="24"/>
        </w:rPr>
        <w:t>3</w:t>
      </w:r>
      <w:r>
        <w:rPr>
          <w:rFonts w:hint="eastAsia"/>
          <w:sz w:val="24"/>
          <w:szCs w:val="24"/>
        </w:rPr>
        <w:t xml:space="preserve"> 定期开展节能诊断评估，并根据评估结果制定优化方案并实施，得4分；</w:t>
      </w:r>
    </w:p>
    <w:p>
      <w:pPr>
        <w:spacing w:line="360" w:lineRule="auto"/>
        <w:ind w:firstLine="482" w:firstLineChars="200"/>
        <w:rPr>
          <w:sz w:val="24"/>
          <w:szCs w:val="24"/>
        </w:rPr>
      </w:pPr>
      <w:r>
        <w:rPr>
          <w:b/>
          <w:sz w:val="24"/>
          <w:szCs w:val="24"/>
        </w:rPr>
        <w:t>4</w:t>
      </w:r>
      <w:r>
        <w:rPr>
          <w:rFonts w:hint="eastAsia"/>
          <w:sz w:val="24"/>
          <w:szCs w:val="24"/>
        </w:rPr>
        <w:t xml:space="preserve"> 定期对各类用水水质进行检测、公示，得2分。</w:t>
      </w:r>
    </w:p>
    <w:p>
      <w:pPr>
        <w:spacing w:line="360" w:lineRule="auto"/>
        <w:outlineLvl w:val="2"/>
        <w:rPr>
          <w:sz w:val="24"/>
          <w:szCs w:val="24"/>
        </w:rPr>
      </w:pPr>
      <w:r>
        <w:rPr>
          <w:b/>
          <w:sz w:val="24"/>
          <w:szCs w:val="24"/>
        </w:rPr>
        <w:t>6.2.13</w:t>
      </w:r>
      <w:r>
        <w:rPr>
          <w:rFonts w:hint="eastAsia"/>
          <w:sz w:val="24"/>
          <w:szCs w:val="24"/>
        </w:rPr>
        <w:t xml:space="preserve">  建立绿色教育宣传和实践机制，编制绿色设施使用手册，形成良好的绿色氛围，并定期开展使用者满意度调查，评价总分值为8分，并按下列规则分别评分并累计：</w:t>
      </w:r>
    </w:p>
    <w:p>
      <w:pPr>
        <w:spacing w:line="360" w:lineRule="auto"/>
        <w:ind w:firstLine="482" w:firstLineChars="200"/>
        <w:rPr>
          <w:sz w:val="24"/>
          <w:szCs w:val="24"/>
        </w:rPr>
      </w:pPr>
      <w:r>
        <w:rPr>
          <w:b/>
          <w:sz w:val="24"/>
          <w:szCs w:val="24"/>
        </w:rPr>
        <w:t>1</w:t>
      </w:r>
      <w:r>
        <w:rPr>
          <w:sz w:val="24"/>
          <w:szCs w:val="24"/>
        </w:rPr>
        <w:t xml:space="preserve"> </w:t>
      </w:r>
      <w:r>
        <w:rPr>
          <w:rFonts w:hint="eastAsia"/>
          <w:sz w:val="24"/>
          <w:szCs w:val="24"/>
        </w:rPr>
        <w:t>每年组织不少于2次的绿色建筑技术宣传、绿色生活引导、灾害应急演练等绿色教育宣传和实践活动，并有活动记录，得2分；</w:t>
      </w:r>
    </w:p>
    <w:p>
      <w:pPr>
        <w:spacing w:line="360" w:lineRule="auto"/>
        <w:ind w:firstLine="482" w:firstLineChars="200"/>
        <w:rPr>
          <w:sz w:val="24"/>
          <w:szCs w:val="24"/>
        </w:rPr>
      </w:pPr>
      <w:r>
        <w:rPr>
          <w:b/>
          <w:sz w:val="24"/>
          <w:szCs w:val="24"/>
        </w:rPr>
        <w:t>2</w:t>
      </w:r>
      <w:r>
        <w:rPr>
          <w:rFonts w:hint="eastAsia"/>
          <w:sz w:val="24"/>
          <w:szCs w:val="24"/>
        </w:rPr>
        <w:t xml:space="preserve"> 具有绿色生活展示、体验或交流分享的平台，并向使用者提供绿色设施使用手册，得3分；</w:t>
      </w:r>
    </w:p>
    <w:p>
      <w:pPr>
        <w:pStyle w:val="26"/>
        <w:spacing w:line="360" w:lineRule="auto"/>
        <w:ind w:left="661" w:leftChars="200" w:hanging="241" w:hangingChars="100"/>
        <w:outlineLvl w:val="9"/>
        <w:rPr>
          <w:rFonts w:hint="eastAsia"/>
          <w:szCs w:val="24"/>
        </w:rPr>
      </w:pPr>
      <w:r>
        <w:rPr>
          <w:b/>
          <w:szCs w:val="24"/>
        </w:rPr>
        <w:t>3</w:t>
      </w:r>
      <w:r>
        <w:rPr>
          <w:szCs w:val="24"/>
        </w:rPr>
        <w:t xml:space="preserve"> </w:t>
      </w:r>
      <w:r>
        <w:rPr>
          <w:rFonts w:hint="eastAsia"/>
          <w:szCs w:val="24"/>
        </w:rPr>
        <w:t>每年开展1次针对建筑绿色性能的使用者满意度调查，且根据调查结果制定改进措施并实施、公示，得3分。</w:t>
      </w:r>
    </w:p>
    <w:p>
      <w:pPr>
        <w:ind w:left="420" w:leftChars="150" w:hanging="105" w:hangingChars="50"/>
        <w:jc w:val="center"/>
        <w:outlineLvl w:val="0"/>
        <w:rPr>
          <w:rFonts w:hint="eastAsia"/>
          <w:b/>
          <w:szCs w:val="24"/>
        </w:rPr>
      </w:pPr>
      <w:r>
        <w:rPr>
          <w:b/>
          <w:szCs w:val="24"/>
        </w:rPr>
        <w:br w:type="page"/>
      </w:r>
      <w:bookmarkStart w:id="105" w:name="_Toc24542997"/>
    </w:p>
    <w:p>
      <w:pPr>
        <w:ind w:left="476" w:leftChars="150" w:hanging="161" w:hangingChars="50"/>
        <w:jc w:val="center"/>
        <w:outlineLvl w:val="0"/>
        <w:rPr>
          <w:b/>
          <w:sz w:val="32"/>
          <w:szCs w:val="32"/>
        </w:rPr>
      </w:pPr>
      <w:r>
        <w:rPr>
          <w:rFonts w:hint="eastAsia"/>
          <w:b/>
          <w:sz w:val="32"/>
          <w:szCs w:val="32"/>
        </w:rPr>
        <w:t>7 资 源 节 约</w:t>
      </w:r>
      <w:bookmarkEnd w:id="105"/>
      <w:r>
        <w:rPr>
          <w:rFonts w:hint="eastAsia"/>
          <w:b/>
          <w:sz w:val="32"/>
          <w:szCs w:val="32"/>
        </w:rPr>
        <w:t xml:space="preserve"> </w:t>
      </w:r>
    </w:p>
    <w:p>
      <w:pPr>
        <w:rPr>
          <w:rFonts w:hint="eastAsia"/>
        </w:rPr>
      </w:pPr>
    </w:p>
    <w:p>
      <w:pPr>
        <w:spacing w:line="360" w:lineRule="auto"/>
        <w:ind w:left="435" w:leftChars="150" w:hanging="120" w:hangingChars="50"/>
        <w:jc w:val="center"/>
        <w:outlineLvl w:val="1"/>
        <w:rPr>
          <w:rFonts w:hint="eastAsia" w:eastAsia="黑体"/>
          <w:b/>
          <w:sz w:val="24"/>
          <w:szCs w:val="24"/>
        </w:rPr>
      </w:pPr>
      <w:bookmarkStart w:id="106" w:name="_Toc24542998"/>
      <w:r>
        <w:rPr>
          <w:rFonts w:hint="eastAsia" w:eastAsia="黑体"/>
          <w:b/>
          <w:sz w:val="24"/>
          <w:szCs w:val="24"/>
        </w:rPr>
        <w:t>7.1 控 制 项</w:t>
      </w:r>
      <w:bookmarkEnd w:id="106"/>
    </w:p>
    <w:p>
      <w:pPr>
        <w:rPr>
          <w:rFonts w:eastAsia="黑体"/>
          <w:b/>
          <w:sz w:val="24"/>
          <w:szCs w:val="24"/>
        </w:rPr>
      </w:pPr>
    </w:p>
    <w:p>
      <w:pPr>
        <w:spacing w:line="360" w:lineRule="auto"/>
        <w:outlineLvl w:val="2"/>
        <w:rPr>
          <w:sz w:val="28"/>
          <w:szCs w:val="28"/>
        </w:rPr>
      </w:pPr>
      <w:r>
        <w:rPr>
          <w:rFonts w:hint="eastAsia"/>
          <w:b/>
          <w:sz w:val="24"/>
          <w:szCs w:val="24"/>
        </w:rPr>
        <w:t>7</w:t>
      </w:r>
      <w:r>
        <w:rPr>
          <w:b/>
          <w:sz w:val="24"/>
          <w:szCs w:val="24"/>
        </w:rPr>
        <w:t>.1.1</w:t>
      </w:r>
      <w:r>
        <w:rPr>
          <w:rFonts w:hint="eastAsia"/>
          <w:sz w:val="24"/>
          <w:szCs w:val="24"/>
        </w:rPr>
        <w:t xml:space="preserve">  应结合场地自然条件和建筑功能需求，对建筑的体形、平面布局、空间尺度、围护结构等进行节能设计，且应符合国家、行业和广西现行有关节能设计的要求。</w:t>
      </w:r>
    </w:p>
    <w:p>
      <w:pPr>
        <w:spacing w:line="360" w:lineRule="auto"/>
        <w:outlineLvl w:val="2"/>
        <w:rPr>
          <w:rFonts w:hint="eastAsia"/>
          <w:sz w:val="24"/>
          <w:szCs w:val="24"/>
        </w:rPr>
      </w:pPr>
      <w:r>
        <w:rPr>
          <w:rFonts w:hint="eastAsia"/>
          <w:b/>
          <w:sz w:val="24"/>
          <w:szCs w:val="24"/>
        </w:rPr>
        <w:t>7</w:t>
      </w:r>
      <w:r>
        <w:rPr>
          <w:b/>
          <w:sz w:val="24"/>
          <w:szCs w:val="24"/>
        </w:rPr>
        <w:t>.1.2</w:t>
      </w:r>
      <w:r>
        <w:rPr>
          <w:rFonts w:hint="eastAsia"/>
          <w:sz w:val="24"/>
          <w:szCs w:val="24"/>
        </w:rPr>
        <w:t xml:space="preserve">  应采取措施降低部分负荷、部分空间使用下的供暖、空调系统能耗，并应符合下列要求：</w:t>
      </w:r>
    </w:p>
    <w:p>
      <w:pPr>
        <w:spacing w:line="360" w:lineRule="auto"/>
        <w:ind w:firstLine="482" w:firstLineChars="200"/>
        <w:rPr>
          <w:rFonts w:hint="eastAsia"/>
          <w:sz w:val="24"/>
          <w:szCs w:val="24"/>
        </w:rPr>
      </w:pPr>
      <w:r>
        <w:rPr>
          <w:rFonts w:hint="eastAsia"/>
          <w:b/>
          <w:sz w:val="24"/>
          <w:szCs w:val="24"/>
        </w:rPr>
        <w:t xml:space="preserve">1 </w:t>
      </w:r>
      <w:r>
        <w:rPr>
          <w:rFonts w:hint="eastAsia"/>
          <w:sz w:val="24"/>
          <w:szCs w:val="24"/>
        </w:rPr>
        <w:t>应区分房间的朝向细分供暖、空调区域，并应对系统进行分区控制；</w:t>
      </w:r>
    </w:p>
    <w:p>
      <w:pPr>
        <w:spacing w:line="360" w:lineRule="auto"/>
        <w:ind w:firstLine="482" w:firstLineChars="200"/>
        <w:rPr>
          <w:rFonts w:hint="eastAsia"/>
          <w:sz w:val="24"/>
          <w:szCs w:val="24"/>
        </w:rPr>
      </w:pPr>
      <w:r>
        <w:rPr>
          <w:rFonts w:hint="eastAsia"/>
          <w:b/>
          <w:sz w:val="24"/>
          <w:szCs w:val="24"/>
        </w:rPr>
        <w:t>2</w:t>
      </w:r>
      <w:r>
        <w:rPr>
          <w:rFonts w:hint="eastAsia"/>
          <w:sz w:val="24"/>
          <w:szCs w:val="24"/>
        </w:rPr>
        <w:t xml:space="preserve"> 空调冷源的部分负荷性能系数（IPLV）、电冷源综合制冷性能系数（SCOP）应符合现行国家标准《公共建筑节能设计标准》GB 50189的规定。</w:t>
      </w:r>
    </w:p>
    <w:p>
      <w:pPr>
        <w:spacing w:line="360" w:lineRule="auto"/>
        <w:outlineLvl w:val="2"/>
        <w:rPr>
          <w:sz w:val="24"/>
          <w:szCs w:val="24"/>
        </w:rPr>
      </w:pPr>
      <w:r>
        <w:rPr>
          <w:rFonts w:hint="eastAsia"/>
          <w:b/>
          <w:sz w:val="24"/>
          <w:szCs w:val="24"/>
        </w:rPr>
        <w:t>7</w:t>
      </w:r>
      <w:r>
        <w:rPr>
          <w:b/>
          <w:sz w:val="24"/>
          <w:szCs w:val="24"/>
        </w:rPr>
        <w:t>.1.3</w:t>
      </w:r>
      <w:r>
        <w:rPr>
          <w:rFonts w:hint="eastAsia"/>
          <w:sz w:val="24"/>
          <w:szCs w:val="24"/>
        </w:rPr>
        <w:t xml:space="preserve">  应根据建筑空间功能设置分区温度，合理降低室内过渡区空间的温度设定标准。</w:t>
      </w:r>
    </w:p>
    <w:p>
      <w:pPr>
        <w:spacing w:line="360" w:lineRule="auto"/>
        <w:outlineLvl w:val="2"/>
        <w:rPr>
          <w:sz w:val="24"/>
          <w:szCs w:val="24"/>
        </w:rPr>
      </w:pPr>
      <w:r>
        <w:rPr>
          <w:rFonts w:hint="eastAsia"/>
          <w:b/>
          <w:sz w:val="24"/>
          <w:szCs w:val="24"/>
        </w:rPr>
        <w:t>7</w:t>
      </w:r>
      <w:r>
        <w:rPr>
          <w:b/>
          <w:sz w:val="24"/>
          <w:szCs w:val="24"/>
        </w:rPr>
        <w:t>.1.4</w:t>
      </w:r>
      <w:r>
        <w:rPr>
          <w:sz w:val="24"/>
          <w:szCs w:val="24"/>
        </w:rPr>
        <w:t xml:space="preserve"> </w:t>
      </w:r>
      <w:r>
        <w:rPr>
          <w:rFonts w:hint="eastAsia"/>
          <w:sz w:val="24"/>
          <w:szCs w:val="24"/>
        </w:rPr>
        <w:t xml:space="preserve"> </w:t>
      </w:r>
      <w:r>
        <w:rPr>
          <w:sz w:val="24"/>
          <w:szCs w:val="24"/>
        </w:rPr>
        <w:t>主要功能房间的照明功率密度值不应高于现行国家标准《建筑照明设计标准》GB 50034规定的现行值；公共区域的照明系统应采用分区、定时、感应等节能控制；采光区域的照明控制应独立于其他区域的照明控制。</w:t>
      </w:r>
    </w:p>
    <w:p>
      <w:pPr>
        <w:spacing w:line="360" w:lineRule="auto"/>
        <w:outlineLvl w:val="2"/>
        <w:rPr>
          <w:sz w:val="24"/>
          <w:szCs w:val="24"/>
        </w:rPr>
      </w:pPr>
      <w:r>
        <w:rPr>
          <w:rFonts w:hint="eastAsia"/>
          <w:b/>
          <w:sz w:val="24"/>
          <w:szCs w:val="24"/>
        </w:rPr>
        <w:t>7</w:t>
      </w:r>
      <w:r>
        <w:rPr>
          <w:b/>
          <w:sz w:val="24"/>
          <w:szCs w:val="24"/>
        </w:rPr>
        <w:t>.1.5</w:t>
      </w:r>
      <w:r>
        <w:rPr>
          <w:rFonts w:hint="eastAsia"/>
          <w:b/>
          <w:sz w:val="24"/>
          <w:szCs w:val="24"/>
        </w:rPr>
        <w:t xml:space="preserve"> </w:t>
      </w:r>
      <w:r>
        <w:rPr>
          <w:rFonts w:hint="eastAsia"/>
          <w:sz w:val="24"/>
          <w:szCs w:val="24"/>
        </w:rPr>
        <w:t xml:space="preserve"> </w:t>
      </w:r>
      <w:r>
        <w:rPr>
          <w:sz w:val="24"/>
          <w:szCs w:val="24"/>
        </w:rPr>
        <w:t>冷热源、输配系统和照明等各部分能耗应进行独立分项计量。</w:t>
      </w:r>
    </w:p>
    <w:p>
      <w:pPr>
        <w:spacing w:line="360" w:lineRule="auto"/>
        <w:outlineLvl w:val="2"/>
        <w:rPr>
          <w:sz w:val="24"/>
          <w:szCs w:val="24"/>
        </w:rPr>
      </w:pPr>
      <w:r>
        <w:rPr>
          <w:rFonts w:hint="eastAsia"/>
          <w:b/>
          <w:sz w:val="24"/>
          <w:szCs w:val="24"/>
        </w:rPr>
        <w:t>7</w:t>
      </w:r>
      <w:r>
        <w:rPr>
          <w:b/>
          <w:sz w:val="24"/>
          <w:szCs w:val="24"/>
        </w:rPr>
        <w:t>.1.6</w:t>
      </w:r>
      <w:r>
        <w:rPr>
          <w:rFonts w:hint="eastAsia"/>
          <w:b/>
          <w:sz w:val="24"/>
          <w:szCs w:val="24"/>
        </w:rPr>
        <w:t xml:space="preserve">  </w:t>
      </w:r>
      <w:r>
        <w:rPr>
          <w:sz w:val="24"/>
          <w:szCs w:val="24"/>
        </w:rPr>
        <w:t>垂直电梯应采取群控、变频调速或能量反馈等节能措施；自动扶梯应采用变频感应启动等节能控制措施。</w:t>
      </w:r>
    </w:p>
    <w:p>
      <w:pPr>
        <w:spacing w:line="360" w:lineRule="auto"/>
        <w:outlineLvl w:val="2"/>
        <w:rPr>
          <w:sz w:val="24"/>
          <w:szCs w:val="24"/>
        </w:rPr>
      </w:pPr>
      <w:r>
        <w:rPr>
          <w:rFonts w:hint="eastAsia"/>
          <w:b/>
          <w:sz w:val="24"/>
          <w:szCs w:val="24"/>
        </w:rPr>
        <w:t>7</w:t>
      </w:r>
      <w:r>
        <w:rPr>
          <w:b/>
          <w:sz w:val="24"/>
          <w:szCs w:val="24"/>
        </w:rPr>
        <w:t>.1.7</w:t>
      </w:r>
      <w:r>
        <w:rPr>
          <w:rFonts w:hint="eastAsia"/>
          <w:b/>
          <w:sz w:val="24"/>
          <w:szCs w:val="24"/>
        </w:rPr>
        <w:t xml:space="preserve">  </w:t>
      </w:r>
      <w:r>
        <w:rPr>
          <w:rFonts w:hint="eastAsia"/>
          <w:sz w:val="24"/>
          <w:szCs w:val="24"/>
        </w:rPr>
        <w:t>应制定水资源利用方案，统筹利用各种水资源，并应符合下列规定：</w:t>
      </w:r>
    </w:p>
    <w:p>
      <w:pPr>
        <w:spacing w:line="360" w:lineRule="auto"/>
        <w:ind w:firstLine="482" w:firstLineChars="200"/>
        <w:rPr>
          <w:b/>
          <w:sz w:val="24"/>
          <w:szCs w:val="24"/>
        </w:rPr>
      </w:pPr>
      <w:r>
        <w:rPr>
          <w:rFonts w:hint="eastAsia"/>
          <w:b/>
          <w:sz w:val="24"/>
          <w:szCs w:val="24"/>
        </w:rPr>
        <w:t xml:space="preserve">1 </w:t>
      </w:r>
      <w:r>
        <w:rPr>
          <w:rFonts w:hint="eastAsia"/>
          <w:sz w:val="24"/>
          <w:szCs w:val="24"/>
        </w:rPr>
        <w:t>应按使用用途、付费或管理单元，分别设置用水计量装置；</w:t>
      </w:r>
    </w:p>
    <w:p>
      <w:pPr>
        <w:spacing w:line="360" w:lineRule="auto"/>
        <w:ind w:firstLine="480" w:firstLineChars="200"/>
        <w:rPr>
          <w:sz w:val="24"/>
          <w:szCs w:val="24"/>
        </w:rPr>
      </w:pPr>
      <w:r>
        <w:rPr>
          <w:rFonts w:hint="eastAsia"/>
          <w:sz w:val="24"/>
          <w:szCs w:val="24"/>
        </w:rPr>
        <w:t>2 用水点处水压大于0.2MPa的配水支管应设置减压设施，并应满足给水配件最低工作压力的要求；</w:t>
      </w:r>
    </w:p>
    <w:p>
      <w:pPr>
        <w:spacing w:line="360" w:lineRule="auto"/>
        <w:ind w:firstLine="482" w:firstLineChars="200"/>
        <w:rPr>
          <w:b/>
          <w:sz w:val="24"/>
          <w:szCs w:val="24"/>
        </w:rPr>
      </w:pPr>
      <w:r>
        <w:rPr>
          <w:rFonts w:hint="eastAsia"/>
          <w:b/>
          <w:sz w:val="24"/>
          <w:szCs w:val="24"/>
        </w:rPr>
        <w:t xml:space="preserve">3 </w:t>
      </w:r>
      <w:r>
        <w:rPr>
          <w:rFonts w:hint="eastAsia"/>
          <w:sz w:val="24"/>
          <w:szCs w:val="24"/>
        </w:rPr>
        <w:t>用水器具和设备应满足节水产品的要求。</w:t>
      </w:r>
    </w:p>
    <w:p>
      <w:pPr>
        <w:spacing w:line="360" w:lineRule="auto"/>
        <w:outlineLvl w:val="2"/>
        <w:rPr>
          <w:rFonts w:hint="eastAsia"/>
          <w:sz w:val="24"/>
          <w:szCs w:val="24"/>
        </w:rPr>
      </w:pPr>
      <w:r>
        <w:rPr>
          <w:rFonts w:hint="eastAsia"/>
          <w:b/>
          <w:sz w:val="24"/>
          <w:szCs w:val="24"/>
        </w:rPr>
        <w:t>7</w:t>
      </w:r>
      <w:r>
        <w:rPr>
          <w:b/>
          <w:sz w:val="24"/>
          <w:szCs w:val="24"/>
        </w:rPr>
        <w:t>.1.8</w:t>
      </w:r>
      <w:r>
        <w:rPr>
          <w:rFonts w:hint="eastAsia"/>
          <w:b/>
          <w:sz w:val="24"/>
          <w:szCs w:val="24"/>
        </w:rPr>
        <w:t xml:space="preserve">  </w:t>
      </w:r>
      <w:r>
        <w:rPr>
          <w:bCs/>
          <w:sz w:val="24"/>
          <w:szCs w:val="24"/>
        </w:rPr>
        <w:t>不应采用建筑形体和布置严重不规则的建筑结构。</w:t>
      </w:r>
    </w:p>
    <w:p>
      <w:pPr>
        <w:spacing w:line="360" w:lineRule="auto"/>
        <w:outlineLvl w:val="2"/>
        <w:rPr>
          <w:bCs/>
          <w:sz w:val="24"/>
          <w:szCs w:val="24"/>
        </w:rPr>
      </w:pPr>
      <w:r>
        <w:rPr>
          <w:rFonts w:hint="eastAsia"/>
          <w:b/>
          <w:sz w:val="24"/>
          <w:szCs w:val="24"/>
        </w:rPr>
        <w:t>7</w:t>
      </w:r>
      <w:r>
        <w:rPr>
          <w:b/>
          <w:sz w:val="24"/>
          <w:szCs w:val="24"/>
        </w:rPr>
        <w:t>.1.</w:t>
      </w:r>
      <w:r>
        <w:rPr>
          <w:rFonts w:hint="eastAsia"/>
          <w:b/>
          <w:sz w:val="24"/>
          <w:szCs w:val="24"/>
        </w:rPr>
        <w:t xml:space="preserve">9  </w:t>
      </w:r>
      <w:r>
        <w:rPr>
          <w:rFonts w:hint="eastAsia"/>
          <w:bCs/>
          <w:sz w:val="24"/>
          <w:szCs w:val="24"/>
        </w:rPr>
        <w:t>建筑造型要素应简约，应无大量装饰性构件，并应符合下列规定：</w:t>
      </w:r>
    </w:p>
    <w:p>
      <w:pPr>
        <w:spacing w:line="360" w:lineRule="auto"/>
        <w:ind w:firstLine="482" w:firstLineChars="200"/>
        <w:rPr>
          <w:sz w:val="24"/>
          <w:szCs w:val="24"/>
        </w:rPr>
      </w:pPr>
      <w:r>
        <w:rPr>
          <w:rFonts w:hint="eastAsia"/>
          <w:b/>
          <w:sz w:val="24"/>
          <w:szCs w:val="24"/>
        </w:rPr>
        <w:t xml:space="preserve">1 </w:t>
      </w:r>
      <w:r>
        <w:rPr>
          <w:rFonts w:hint="eastAsia"/>
          <w:sz w:val="24"/>
          <w:szCs w:val="24"/>
        </w:rPr>
        <w:t>住宅建筑的装饰性构件造价占建筑总造价的比例不应大于2%；</w:t>
      </w:r>
    </w:p>
    <w:p>
      <w:pPr>
        <w:spacing w:line="360" w:lineRule="auto"/>
        <w:ind w:firstLine="482" w:firstLineChars="200"/>
        <w:rPr>
          <w:b/>
          <w:sz w:val="24"/>
          <w:szCs w:val="24"/>
        </w:rPr>
      </w:pPr>
      <w:r>
        <w:rPr>
          <w:rFonts w:hint="eastAsia"/>
          <w:b/>
          <w:sz w:val="24"/>
          <w:szCs w:val="24"/>
        </w:rPr>
        <w:t xml:space="preserve">2 </w:t>
      </w:r>
      <w:r>
        <w:rPr>
          <w:rFonts w:hint="eastAsia"/>
          <w:sz w:val="24"/>
          <w:szCs w:val="24"/>
        </w:rPr>
        <w:t>公共建筑的装饰性构件造价占建筑总造价的比例不应大于1%。</w:t>
      </w:r>
      <w:bookmarkStart w:id="107" w:name="_GoBack"/>
      <w:bookmarkEnd w:id="107"/>
    </w:p>
    <w:p>
      <w:pPr>
        <w:spacing w:line="360" w:lineRule="auto"/>
        <w:outlineLvl w:val="2"/>
        <w:rPr>
          <w:bCs/>
          <w:sz w:val="24"/>
          <w:szCs w:val="24"/>
        </w:rPr>
      </w:pPr>
      <w:r>
        <w:rPr>
          <w:rFonts w:hint="eastAsia"/>
          <w:b/>
          <w:sz w:val="24"/>
          <w:szCs w:val="24"/>
        </w:rPr>
        <w:t>7</w:t>
      </w:r>
      <w:r>
        <w:rPr>
          <w:b/>
          <w:sz w:val="24"/>
          <w:szCs w:val="24"/>
        </w:rPr>
        <w:t>.1.</w:t>
      </w:r>
      <w:r>
        <w:rPr>
          <w:rFonts w:hint="eastAsia"/>
          <w:b/>
          <w:sz w:val="24"/>
          <w:szCs w:val="24"/>
        </w:rPr>
        <w:t xml:space="preserve">10  </w:t>
      </w:r>
      <w:r>
        <w:rPr>
          <w:bCs/>
          <w:sz w:val="24"/>
          <w:szCs w:val="24"/>
        </w:rPr>
        <w:t>选用的建筑材料应符合下列</w:t>
      </w:r>
      <w:r>
        <w:rPr>
          <w:rFonts w:hint="eastAsia"/>
          <w:bCs/>
          <w:sz w:val="24"/>
          <w:szCs w:val="24"/>
        </w:rPr>
        <w:t>规定</w:t>
      </w:r>
      <w:r>
        <w:rPr>
          <w:bCs/>
          <w:sz w:val="24"/>
          <w:szCs w:val="24"/>
        </w:rPr>
        <w:t>：</w:t>
      </w:r>
    </w:p>
    <w:p>
      <w:pPr>
        <w:spacing w:line="360" w:lineRule="auto"/>
        <w:ind w:firstLine="482" w:firstLineChars="200"/>
        <w:rPr>
          <w:b/>
          <w:sz w:val="24"/>
          <w:szCs w:val="24"/>
        </w:rPr>
      </w:pPr>
      <w:r>
        <w:rPr>
          <w:b/>
          <w:sz w:val="24"/>
          <w:szCs w:val="24"/>
        </w:rPr>
        <w:t>1</w:t>
      </w:r>
      <w:r>
        <w:rPr>
          <w:rFonts w:hint="eastAsia"/>
          <w:b/>
          <w:sz w:val="24"/>
          <w:szCs w:val="24"/>
        </w:rPr>
        <w:t xml:space="preserve"> </w:t>
      </w:r>
      <w:r>
        <w:rPr>
          <w:sz w:val="24"/>
          <w:szCs w:val="24"/>
        </w:rPr>
        <w:t>500km以内生产的建筑材料重量占建筑材料总重量的比例应大于60%；</w:t>
      </w:r>
    </w:p>
    <w:p>
      <w:pPr>
        <w:spacing w:line="360" w:lineRule="auto"/>
        <w:ind w:firstLine="482" w:firstLineChars="200"/>
        <w:rPr>
          <w:rFonts w:hint="eastAsia"/>
          <w:b/>
          <w:sz w:val="24"/>
          <w:szCs w:val="24"/>
        </w:rPr>
      </w:pPr>
      <w:r>
        <w:rPr>
          <w:b/>
          <w:sz w:val="24"/>
          <w:szCs w:val="24"/>
        </w:rPr>
        <w:t>2</w:t>
      </w:r>
      <w:r>
        <w:rPr>
          <w:rFonts w:hint="eastAsia"/>
          <w:b/>
          <w:sz w:val="24"/>
          <w:szCs w:val="24"/>
        </w:rPr>
        <w:t xml:space="preserve"> </w:t>
      </w:r>
      <w:r>
        <w:rPr>
          <w:sz w:val="24"/>
          <w:szCs w:val="24"/>
        </w:rPr>
        <w:t>现浇混凝土应采用预拌混凝土，建筑砂浆应采用预拌砂浆。</w:t>
      </w:r>
    </w:p>
    <w:p>
      <w:pPr>
        <w:rPr>
          <w:rFonts w:hint="eastAsia"/>
        </w:rPr>
      </w:pPr>
    </w:p>
    <w:p>
      <w:pPr>
        <w:spacing w:line="360" w:lineRule="auto"/>
        <w:ind w:left="435" w:leftChars="150" w:hanging="120" w:hangingChars="50"/>
        <w:jc w:val="center"/>
        <w:outlineLvl w:val="1"/>
        <w:rPr>
          <w:rFonts w:eastAsia="黑体"/>
          <w:b/>
          <w:sz w:val="24"/>
          <w:szCs w:val="24"/>
        </w:rPr>
      </w:pPr>
      <w:bookmarkStart w:id="108" w:name="_Toc24542999"/>
      <w:r>
        <w:rPr>
          <w:rFonts w:hint="eastAsia" w:eastAsia="黑体"/>
          <w:b/>
          <w:sz w:val="24"/>
          <w:szCs w:val="24"/>
        </w:rPr>
        <w:t>7.2 评 分 项</w:t>
      </w:r>
      <w:bookmarkEnd w:id="108"/>
    </w:p>
    <w:p>
      <w:pPr>
        <w:spacing w:line="360" w:lineRule="auto"/>
        <w:ind w:left="435" w:leftChars="150" w:hanging="120" w:hangingChars="50"/>
        <w:jc w:val="center"/>
        <w:rPr>
          <w:rFonts w:eastAsia="仿宋"/>
          <w:b/>
          <w:sz w:val="24"/>
          <w:szCs w:val="24"/>
        </w:rPr>
      </w:pPr>
      <w:r>
        <w:rPr>
          <w:rFonts w:hint="eastAsia" w:eastAsia="仿宋"/>
          <w:b/>
          <w:sz w:val="24"/>
          <w:szCs w:val="24"/>
        </w:rPr>
        <w:t>I 节地与土地利用</w:t>
      </w:r>
    </w:p>
    <w:p>
      <w:pPr>
        <w:spacing w:line="360" w:lineRule="auto"/>
        <w:outlineLvl w:val="2"/>
        <w:rPr>
          <w:b/>
          <w:sz w:val="24"/>
          <w:szCs w:val="24"/>
        </w:rPr>
      </w:pPr>
      <w:r>
        <w:rPr>
          <w:rFonts w:hint="eastAsia"/>
          <w:b/>
          <w:sz w:val="24"/>
          <w:szCs w:val="24"/>
        </w:rPr>
        <w:t>7.2.1</w:t>
      </w:r>
      <w:r>
        <w:rPr>
          <w:rFonts w:hint="eastAsia"/>
          <w:sz w:val="24"/>
          <w:szCs w:val="24"/>
        </w:rPr>
        <w:t xml:space="preserve">  节约集约利用土地，评价总分值为20分，并按下列规则评分：</w:t>
      </w:r>
    </w:p>
    <w:p>
      <w:pPr>
        <w:ind w:firstLine="482" w:firstLineChars="200"/>
        <w:rPr>
          <w:szCs w:val="21"/>
        </w:rPr>
      </w:pPr>
      <w:r>
        <w:rPr>
          <w:rFonts w:hint="eastAsia"/>
          <w:b/>
          <w:sz w:val="24"/>
          <w:szCs w:val="24"/>
        </w:rPr>
        <w:t xml:space="preserve">1 </w:t>
      </w:r>
      <w:r>
        <w:rPr>
          <w:rFonts w:hint="eastAsia"/>
          <w:sz w:val="24"/>
          <w:szCs w:val="24"/>
        </w:rPr>
        <w:t>对于住宅建筑，根据其所在居住街坊人均住宅用地指标按表7.2.1-1的规则评分。</w:t>
      </w:r>
    </w:p>
    <w:p>
      <w:pPr>
        <w:spacing w:line="300" w:lineRule="auto"/>
        <w:jc w:val="center"/>
        <w:rPr>
          <w:rFonts w:eastAsia="黑体"/>
          <w:b/>
          <w:bCs/>
          <w:sz w:val="22"/>
        </w:rPr>
      </w:pPr>
      <w:r>
        <w:rPr>
          <w:rFonts w:eastAsia="黑体"/>
          <w:b/>
          <w:bCs/>
          <w:sz w:val="22"/>
        </w:rPr>
        <w:t>表7.2.1-1 居住街坊人均住宅用地指标评分规则</w:t>
      </w:r>
    </w:p>
    <w:tbl>
      <w:tblPr>
        <w:tblStyle w:val="1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9"/>
        <w:gridCol w:w="1665"/>
        <w:gridCol w:w="1672"/>
        <w:gridCol w:w="1662"/>
        <w:gridCol w:w="1431"/>
        <w:gridCol w:w="1429"/>
        <w:gridCol w:w="8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jc w:val="center"/>
        </w:trPr>
        <w:tc>
          <w:tcPr>
            <w:tcW w:w="582" w:type="pct"/>
            <w:vMerge w:val="restart"/>
            <w:tcBorders>
              <w:top w:val="single" w:color="auto" w:sz="4" w:space="0"/>
              <w:left w:val="single" w:color="auto" w:sz="4" w:space="0"/>
              <w:right w:val="single" w:color="auto" w:sz="4" w:space="0"/>
            </w:tcBorders>
            <w:noWrap w:val="0"/>
            <w:vAlign w:val="center"/>
          </w:tcPr>
          <w:p>
            <w:pPr>
              <w:jc w:val="center"/>
              <w:rPr>
                <w:bCs/>
                <w:szCs w:val="21"/>
              </w:rPr>
            </w:pPr>
            <w:r>
              <w:rPr>
                <w:bCs/>
                <w:szCs w:val="21"/>
              </w:rPr>
              <w:t>建筑气候区划</w:t>
            </w:r>
          </w:p>
        </w:tc>
        <w:tc>
          <w:tcPr>
            <w:tcW w:w="4010" w:type="pct"/>
            <w:gridSpan w:val="5"/>
            <w:tcBorders>
              <w:top w:val="single" w:color="auto" w:sz="4" w:space="0"/>
              <w:left w:val="single" w:color="auto" w:sz="4" w:space="0"/>
              <w:bottom w:val="single" w:color="auto" w:sz="4" w:space="0"/>
              <w:right w:val="single" w:color="auto" w:sz="4" w:space="0"/>
            </w:tcBorders>
            <w:noWrap w:val="0"/>
            <w:vAlign w:val="center"/>
          </w:tcPr>
          <w:p>
            <w:pPr>
              <w:jc w:val="center"/>
              <w:rPr>
                <w:bCs/>
                <w:szCs w:val="21"/>
              </w:rPr>
            </w:pPr>
            <w:r>
              <w:rPr>
                <w:bCs/>
                <w:szCs w:val="21"/>
              </w:rPr>
              <w:t>人均住宅用地指标</w:t>
            </w:r>
            <w:r>
              <w:rPr>
                <w:szCs w:val="21"/>
              </w:rPr>
              <w:t>A</w:t>
            </w:r>
            <w:r>
              <w:rPr>
                <w:bCs/>
                <w:szCs w:val="21"/>
              </w:rPr>
              <w:t>（m</w:t>
            </w:r>
            <w:r>
              <w:rPr>
                <w:bCs/>
                <w:szCs w:val="21"/>
                <w:vertAlign w:val="superscript"/>
              </w:rPr>
              <w:t>2</w:t>
            </w:r>
            <w:r>
              <w:rPr>
                <w:bCs/>
                <w:szCs w:val="21"/>
              </w:rPr>
              <w:t>）</w:t>
            </w:r>
          </w:p>
        </w:tc>
        <w:tc>
          <w:tcPr>
            <w:tcW w:w="408" w:type="pct"/>
            <w:vMerge w:val="restart"/>
            <w:tcBorders>
              <w:top w:val="single" w:color="auto" w:sz="4" w:space="0"/>
              <w:left w:val="single" w:color="auto" w:sz="4" w:space="0"/>
              <w:bottom w:val="single" w:color="auto" w:sz="4" w:space="0"/>
              <w:right w:val="single" w:color="auto" w:sz="4" w:space="0"/>
            </w:tcBorders>
            <w:noWrap w:val="0"/>
            <w:vAlign w:val="center"/>
          </w:tcPr>
          <w:p>
            <w:pPr>
              <w:jc w:val="center"/>
              <w:rPr>
                <w:bCs/>
                <w:szCs w:val="21"/>
              </w:rPr>
            </w:pPr>
            <w:r>
              <w:rPr>
                <w:bCs/>
                <w:szCs w:val="21"/>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jc w:val="center"/>
        </w:trPr>
        <w:tc>
          <w:tcPr>
            <w:tcW w:w="582" w:type="pct"/>
            <w:vMerge w:val="continue"/>
            <w:tcBorders>
              <w:left w:val="single" w:color="auto" w:sz="4" w:space="0"/>
              <w:bottom w:val="single" w:color="auto" w:sz="4" w:space="0"/>
              <w:right w:val="single" w:color="auto" w:sz="4" w:space="0"/>
            </w:tcBorders>
            <w:noWrap w:val="0"/>
            <w:vAlign w:val="top"/>
          </w:tcPr>
          <w:p>
            <w:pPr>
              <w:jc w:val="center"/>
              <w:rPr>
                <w:bCs/>
                <w:szCs w:val="21"/>
              </w:rPr>
            </w:pPr>
          </w:p>
        </w:tc>
        <w:tc>
          <w:tcPr>
            <w:tcW w:w="850" w:type="pct"/>
            <w:tcBorders>
              <w:top w:val="single" w:color="auto" w:sz="4" w:space="0"/>
              <w:left w:val="single" w:color="auto" w:sz="4" w:space="0"/>
              <w:bottom w:val="single" w:color="auto" w:sz="4" w:space="0"/>
              <w:right w:val="single" w:color="auto" w:sz="4" w:space="0"/>
            </w:tcBorders>
            <w:noWrap w:val="0"/>
            <w:vAlign w:val="center"/>
          </w:tcPr>
          <w:p>
            <w:pPr>
              <w:jc w:val="center"/>
              <w:rPr>
                <w:bCs/>
                <w:szCs w:val="21"/>
              </w:rPr>
            </w:pPr>
            <w:r>
              <w:rPr>
                <w:bCs/>
                <w:szCs w:val="21"/>
              </w:rPr>
              <w:t>平均</w:t>
            </w:r>
            <w:r>
              <w:rPr>
                <w:szCs w:val="21"/>
              </w:rPr>
              <w:t>3</w:t>
            </w:r>
            <w:r>
              <w:rPr>
                <w:bCs/>
                <w:szCs w:val="21"/>
              </w:rPr>
              <w:t>层</w:t>
            </w:r>
          </w:p>
          <w:p>
            <w:pPr>
              <w:jc w:val="center"/>
              <w:rPr>
                <w:bCs/>
                <w:szCs w:val="21"/>
              </w:rPr>
            </w:pPr>
            <w:r>
              <w:rPr>
                <w:bCs/>
                <w:szCs w:val="21"/>
              </w:rPr>
              <w:t>及以下</w:t>
            </w:r>
          </w:p>
        </w:tc>
        <w:tc>
          <w:tcPr>
            <w:tcW w:w="853" w:type="pct"/>
            <w:tcBorders>
              <w:top w:val="single" w:color="auto" w:sz="4" w:space="0"/>
              <w:left w:val="single" w:color="auto" w:sz="4" w:space="0"/>
              <w:bottom w:val="single" w:color="auto" w:sz="4" w:space="0"/>
              <w:right w:val="single" w:color="auto" w:sz="4" w:space="0"/>
            </w:tcBorders>
            <w:noWrap w:val="0"/>
            <w:vAlign w:val="center"/>
          </w:tcPr>
          <w:p>
            <w:pPr>
              <w:jc w:val="center"/>
              <w:rPr>
                <w:bCs/>
                <w:szCs w:val="21"/>
              </w:rPr>
            </w:pPr>
            <w:r>
              <w:rPr>
                <w:bCs/>
                <w:szCs w:val="21"/>
              </w:rPr>
              <w:t>平均</w:t>
            </w:r>
            <w:r>
              <w:rPr>
                <w:szCs w:val="21"/>
              </w:rPr>
              <w:t>4~6层</w:t>
            </w:r>
          </w:p>
        </w:tc>
        <w:tc>
          <w:tcPr>
            <w:tcW w:w="848" w:type="pct"/>
            <w:tcBorders>
              <w:top w:val="single" w:color="auto" w:sz="4" w:space="0"/>
              <w:left w:val="single" w:color="auto" w:sz="4" w:space="0"/>
              <w:bottom w:val="single" w:color="auto" w:sz="4" w:space="0"/>
              <w:right w:val="single" w:color="auto" w:sz="4" w:space="0"/>
            </w:tcBorders>
            <w:noWrap w:val="0"/>
            <w:vAlign w:val="center"/>
          </w:tcPr>
          <w:p>
            <w:pPr>
              <w:jc w:val="center"/>
              <w:rPr>
                <w:szCs w:val="21"/>
              </w:rPr>
            </w:pPr>
            <w:r>
              <w:rPr>
                <w:bCs/>
                <w:szCs w:val="21"/>
              </w:rPr>
              <w:t>平均</w:t>
            </w:r>
            <w:r>
              <w:rPr>
                <w:szCs w:val="21"/>
              </w:rPr>
              <w:t>7~9层</w:t>
            </w:r>
          </w:p>
        </w:tc>
        <w:tc>
          <w:tcPr>
            <w:tcW w:w="730" w:type="pct"/>
            <w:tcBorders>
              <w:top w:val="single" w:color="auto" w:sz="4" w:space="0"/>
              <w:left w:val="single" w:color="auto" w:sz="4" w:space="0"/>
              <w:bottom w:val="single" w:color="auto" w:sz="4" w:space="0"/>
              <w:right w:val="single" w:color="auto" w:sz="4" w:space="0"/>
            </w:tcBorders>
            <w:noWrap w:val="0"/>
            <w:vAlign w:val="center"/>
          </w:tcPr>
          <w:p>
            <w:pPr>
              <w:jc w:val="center"/>
              <w:rPr>
                <w:bCs/>
                <w:szCs w:val="21"/>
              </w:rPr>
            </w:pPr>
            <w:r>
              <w:rPr>
                <w:bCs/>
                <w:szCs w:val="21"/>
              </w:rPr>
              <w:t>平均</w:t>
            </w:r>
            <w:r>
              <w:rPr>
                <w:szCs w:val="21"/>
              </w:rPr>
              <w:t>10~18层</w:t>
            </w:r>
          </w:p>
        </w:tc>
        <w:tc>
          <w:tcPr>
            <w:tcW w:w="729" w:type="pct"/>
            <w:tcBorders>
              <w:top w:val="single" w:color="auto" w:sz="4" w:space="0"/>
              <w:left w:val="single" w:color="auto" w:sz="4" w:space="0"/>
              <w:bottom w:val="single" w:color="auto" w:sz="4" w:space="0"/>
              <w:right w:val="single" w:color="auto" w:sz="4" w:space="0"/>
            </w:tcBorders>
            <w:noWrap w:val="0"/>
            <w:vAlign w:val="center"/>
          </w:tcPr>
          <w:p>
            <w:pPr>
              <w:jc w:val="center"/>
              <w:rPr>
                <w:bCs/>
                <w:szCs w:val="21"/>
              </w:rPr>
            </w:pPr>
            <w:r>
              <w:rPr>
                <w:bCs/>
                <w:szCs w:val="21"/>
              </w:rPr>
              <w:t>平均</w:t>
            </w:r>
            <w:r>
              <w:rPr>
                <w:szCs w:val="21"/>
              </w:rPr>
              <w:t>19</w:t>
            </w:r>
            <w:r>
              <w:rPr>
                <w:bCs/>
                <w:szCs w:val="21"/>
              </w:rPr>
              <w:t>层及以上</w:t>
            </w:r>
          </w:p>
        </w:tc>
        <w:tc>
          <w:tcPr>
            <w:tcW w:w="408" w:type="pct"/>
            <w:vMerge w:val="continue"/>
            <w:tcBorders>
              <w:top w:val="single" w:color="auto" w:sz="4" w:space="0"/>
              <w:left w:val="single" w:color="auto" w:sz="4" w:space="0"/>
              <w:bottom w:val="single" w:color="auto" w:sz="4" w:space="0"/>
              <w:right w:val="single" w:color="auto" w:sz="4" w:space="0"/>
            </w:tcBorders>
            <w:noWrap w:val="0"/>
            <w:vAlign w:val="center"/>
          </w:tcPr>
          <w:p>
            <w:pPr>
              <w:jc w:val="center"/>
              <w:rPr>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jc w:val="center"/>
        </w:trPr>
        <w:tc>
          <w:tcPr>
            <w:tcW w:w="582" w:type="pct"/>
            <w:vMerge w:val="restart"/>
            <w:tcBorders>
              <w:top w:val="single" w:color="auto" w:sz="4" w:space="0"/>
              <w:left w:val="single" w:color="auto" w:sz="4" w:space="0"/>
              <w:right w:val="single" w:color="auto" w:sz="4" w:space="0"/>
            </w:tcBorders>
            <w:noWrap w:val="0"/>
            <w:vAlign w:val="center"/>
          </w:tcPr>
          <w:p>
            <w:pPr>
              <w:jc w:val="center"/>
              <w:rPr>
                <w:bCs/>
                <w:szCs w:val="21"/>
              </w:rPr>
            </w:pPr>
            <w:r>
              <w:rPr>
                <w:szCs w:val="21"/>
              </w:rPr>
              <w:t>I、VII</w:t>
            </w:r>
          </w:p>
        </w:tc>
        <w:tc>
          <w:tcPr>
            <w:tcW w:w="850" w:type="pct"/>
            <w:tcBorders>
              <w:top w:val="single" w:color="auto" w:sz="4" w:space="0"/>
              <w:left w:val="single" w:color="auto" w:sz="4" w:space="0"/>
              <w:bottom w:val="single" w:color="auto" w:sz="4" w:space="0"/>
              <w:right w:val="single" w:color="auto" w:sz="4" w:space="0"/>
            </w:tcBorders>
            <w:noWrap w:val="0"/>
            <w:vAlign w:val="center"/>
          </w:tcPr>
          <w:p>
            <w:pPr>
              <w:jc w:val="center"/>
              <w:rPr>
                <w:szCs w:val="21"/>
              </w:rPr>
            </w:pPr>
            <w:r>
              <w:rPr>
                <w:szCs w:val="21"/>
              </w:rPr>
              <w:t>33＜A≤36</w:t>
            </w:r>
          </w:p>
        </w:tc>
        <w:tc>
          <w:tcPr>
            <w:tcW w:w="853" w:type="pct"/>
            <w:tcBorders>
              <w:top w:val="single" w:color="auto" w:sz="4" w:space="0"/>
              <w:left w:val="single" w:color="auto" w:sz="4" w:space="0"/>
              <w:bottom w:val="single" w:color="auto" w:sz="4" w:space="0"/>
              <w:right w:val="single" w:color="auto" w:sz="4" w:space="0"/>
            </w:tcBorders>
            <w:noWrap w:val="0"/>
            <w:vAlign w:val="center"/>
          </w:tcPr>
          <w:p>
            <w:pPr>
              <w:jc w:val="center"/>
              <w:rPr>
                <w:szCs w:val="21"/>
              </w:rPr>
            </w:pPr>
            <w:r>
              <w:rPr>
                <w:szCs w:val="21"/>
              </w:rPr>
              <w:t>29＜A≤32</w:t>
            </w:r>
          </w:p>
        </w:tc>
        <w:tc>
          <w:tcPr>
            <w:tcW w:w="848" w:type="pct"/>
            <w:tcBorders>
              <w:top w:val="single" w:color="auto" w:sz="4" w:space="0"/>
              <w:left w:val="single" w:color="auto" w:sz="4" w:space="0"/>
              <w:bottom w:val="single" w:color="auto" w:sz="4" w:space="0"/>
              <w:right w:val="single" w:color="auto" w:sz="4" w:space="0"/>
            </w:tcBorders>
            <w:noWrap w:val="0"/>
            <w:vAlign w:val="center"/>
          </w:tcPr>
          <w:p>
            <w:pPr>
              <w:jc w:val="center"/>
              <w:rPr>
                <w:szCs w:val="21"/>
              </w:rPr>
            </w:pPr>
            <w:r>
              <w:rPr>
                <w:szCs w:val="21"/>
              </w:rPr>
              <w:t>21＜A≤22</w:t>
            </w:r>
          </w:p>
        </w:tc>
        <w:tc>
          <w:tcPr>
            <w:tcW w:w="730" w:type="pct"/>
            <w:tcBorders>
              <w:top w:val="single" w:color="auto" w:sz="4" w:space="0"/>
              <w:left w:val="single" w:color="auto" w:sz="4" w:space="0"/>
              <w:bottom w:val="single" w:color="auto" w:sz="4" w:space="0"/>
              <w:right w:val="single" w:color="auto" w:sz="4" w:space="0"/>
            </w:tcBorders>
            <w:noWrap w:val="0"/>
            <w:vAlign w:val="center"/>
          </w:tcPr>
          <w:p>
            <w:pPr>
              <w:jc w:val="center"/>
              <w:rPr>
                <w:szCs w:val="21"/>
              </w:rPr>
            </w:pPr>
            <w:r>
              <w:rPr>
                <w:szCs w:val="21"/>
              </w:rPr>
              <w:t>17＜A≤19</w:t>
            </w:r>
          </w:p>
        </w:tc>
        <w:tc>
          <w:tcPr>
            <w:tcW w:w="729" w:type="pct"/>
            <w:tcBorders>
              <w:top w:val="single" w:color="auto" w:sz="4" w:space="0"/>
              <w:left w:val="single" w:color="auto" w:sz="4" w:space="0"/>
              <w:bottom w:val="single" w:color="auto" w:sz="4" w:space="0"/>
              <w:right w:val="single" w:color="auto" w:sz="4" w:space="0"/>
            </w:tcBorders>
            <w:noWrap w:val="0"/>
            <w:vAlign w:val="center"/>
          </w:tcPr>
          <w:p>
            <w:pPr>
              <w:jc w:val="center"/>
              <w:rPr>
                <w:szCs w:val="21"/>
              </w:rPr>
            </w:pPr>
            <w:r>
              <w:rPr>
                <w:szCs w:val="21"/>
              </w:rPr>
              <w:t>12＜A≤13</w:t>
            </w:r>
          </w:p>
        </w:tc>
        <w:tc>
          <w:tcPr>
            <w:tcW w:w="408" w:type="pct"/>
            <w:tcBorders>
              <w:top w:val="single" w:color="auto" w:sz="4" w:space="0"/>
              <w:left w:val="single" w:color="auto" w:sz="4" w:space="0"/>
              <w:bottom w:val="single" w:color="auto" w:sz="4" w:space="0"/>
              <w:right w:val="single" w:color="auto" w:sz="4" w:space="0"/>
            </w:tcBorders>
            <w:noWrap w:val="0"/>
            <w:vAlign w:val="center"/>
          </w:tcPr>
          <w:p>
            <w:pPr>
              <w:jc w:val="center"/>
              <w:rPr>
                <w:szCs w:val="21"/>
              </w:rPr>
            </w:pPr>
            <w:r>
              <w:rPr>
                <w:szCs w:val="21"/>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jc w:val="center"/>
        </w:trPr>
        <w:tc>
          <w:tcPr>
            <w:tcW w:w="582" w:type="pct"/>
            <w:vMerge w:val="continue"/>
            <w:tcBorders>
              <w:left w:val="single" w:color="auto" w:sz="4" w:space="0"/>
              <w:bottom w:val="single" w:color="auto" w:sz="4" w:space="0"/>
              <w:right w:val="single" w:color="auto" w:sz="4" w:space="0"/>
            </w:tcBorders>
            <w:noWrap w:val="0"/>
            <w:vAlign w:val="top"/>
          </w:tcPr>
          <w:p>
            <w:pPr>
              <w:jc w:val="center"/>
              <w:rPr>
                <w:szCs w:val="21"/>
              </w:rPr>
            </w:pPr>
          </w:p>
        </w:tc>
        <w:tc>
          <w:tcPr>
            <w:tcW w:w="850" w:type="pct"/>
            <w:tcBorders>
              <w:top w:val="single" w:color="auto" w:sz="4" w:space="0"/>
              <w:left w:val="single" w:color="auto" w:sz="4" w:space="0"/>
              <w:bottom w:val="single" w:color="auto" w:sz="4" w:space="0"/>
              <w:right w:val="single" w:color="auto" w:sz="4" w:space="0"/>
            </w:tcBorders>
            <w:noWrap w:val="0"/>
            <w:vAlign w:val="center"/>
          </w:tcPr>
          <w:p>
            <w:pPr>
              <w:jc w:val="center"/>
              <w:rPr>
                <w:szCs w:val="21"/>
              </w:rPr>
            </w:pPr>
            <w:r>
              <w:rPr>
                <w:szCs w:val="21"/>
              </w:rPr>
              <w:t>A≤33</w:t>
            </w:r>
          </w:p>
        </w:tc>
        <w:tc>
          <w:tcPr>
            <w:tcW w:w="853" w:type="pct"/>
            <w:tcBorders>
              <w:top w:val="single" w:color="auto" w:sz="4" w:space="0"/>
              <w:left w:val="single" w:color="auto" w:sz="4" w:space="0"/>
              <w:bottom w:val="single" w:color="auto" w:sz="4" w:space="0"/>
              <w:right w:val="single" w:color="auto" w:sz="4" w:space="0"/>
            </w:tcBorders>
            <w:noWrap w:val="0"/>
            <w:vAlign w:val="center"/>
          </w:tcPr>
          <w:p>
            <w:pPr>
              <w:jc w:val="center"/>
              <w:rPr>
                <w:szCs w:val="21"/>
              </w:rPr>
            </w:pPr>
            <w:r>
              <w:rPr>
                <w:szCs w:val="21"/>
              </w:rPr>
              <w:t>A≤29</w:t>
            </w:r>
          </w:p>
        </w:tc>
        <w:tc>
          <w:tcPr>
            <w:tcW w:w="848" w:type="pct"/>
            <w:tcBorders>
              <w:top w:val="single" w:color="auto" w:sz="4" w:space="0"/>
              <w:left w:val="single" w:color="auto" w:sz="4" w:space="0"/>
              <w:bottom w:val="single" w:color="auto" w:sz="4" w:space="0"/>
              <w:right w:val="single" w:color="auto" w:sz="4" w:space="0"/>
            </w:tcBorders>
            <w:noWrap w:val="0"/>
            <w:vAlign w:val="center"/>
          </w:tcPr>
          <w:p>
            <w:pPr>
              <w:jc w:val="center"/>
              <w:rPr>
                <w:szCs w:val="21"/>
              </w:rPr>
            </w:pPr>
            <w:r>
              <w:rPr>
                <w:szCs w:val="21"/>
              </w:rPr>
              <w:t>A≤21</w:t>
            </w:r>
          </w:p>
        </w:tc>
        <w:tc>
          <w:tcPr>
            <w:tcW w:w="730" w:type="pct"/>
            <w:tcBorders>
              <w:top w:val="single" w:color="auto" w:sz="4" w:space="0"/>
              <w:left w:val="single" w:color="auto" w:sz="4" w:space="0"/>
              <w:bottom w:val="single" w:color="auto" w:sz="4" w:space="0"/>
              <w:right w:val="single" w:color="auto" w:sz="4" w:space="0"/>
            </w:tcBorders>
            <w:noWrap w:val="0"/>
            <w:vAlign w:val="center"/>
          </w:tcPr>
          <w:p>
            <w:pPr>
              <w:jc w:val="center"/>
              <w:rPr>
                <w:szCs w:val="21"/>
              </w:rPr>
            </w:pPr>
            <w:r>
              <w:rPr>
                <w:szCs w:val="21"/>
              </w:rPr>
              <w:t>A≤17</w:t>
            </w:r>
          </w:p>
        </w:tc>
        <w:tc>
          <w:tcPr>
            <w:tcW w:w="729" w:type="pct"/>
            <w:tcBorders>
              <w:top w:val="single" w:color="auto" w:sz="4" w:space="0"/>
              <w:left w:val="single" w:color="auto" w:sz="4" w:space="0"/>
              <w:bottom w:val="single" w:color="auto" w:sz="4" w:space="0"/>
              <w:right w:val="single" w:color="auto" w:sz="4" w:space="0"/>
            </w:tcBorders>
            <w:noWrap w:val="0"/>
            <w:vAlign w:val="center"/>
          </w:tcPr>
          <w:p>
            <w:pPr>
              <w:jc w:val="center"/>
              <w:rPr>
                <w:szCs w:val="21"/>
              </w:rPr>
            </w:pPr>
            <w:r>
              <w:rPr>
                <w:szCs w:val="21"/>
              </w:rPr>
              <w:t>A≤12</w:t>
            </w:r>
          </w:p>
        </w:tc>
        <w:tc>
          <w:tcPr>
            <w:tcW w:w="408" w:type="pct"/>
            <w:tcBorders>
              <w:top w:val="single" w:color="auto" w:sz="4" w:space="0"/>
              <w:left w:val="single" w:color="auto" w:sz="4" w:space="0"/>
              <w:bottom w:val="single" w:color="auto" w:sz="4" w:space="0"/>
              <w:right w:val="single" w:color="auto" w:sz="4" w:space="0"/>
            </w:tcBorders>
            <w:noWrap w:val="0"/>
            <w:vAlign w:val="center"/>
          </w:tcPr>
          <w:p>
            <w:pPr>
              <w:jc w:val="center"/>
              <w:rPr>
                <w:szCs w:val="21"/>
              </w:rPr>
            </w:pPr>
            <w:r>
              <w:rPr>
                <w:szCs w:val="21"/>
              </w:rPr>
              <w:t>20</w:t>
            </w:r>
          </w:p>
        </w:tc>
      </w:tr>
    </w:tbl>
    <w:p>
      <w:pPr>
        <w:rPr>
          <w:szCs w:val="21"/>
        </w:rPr>
      </w:pPr>
    </w:p>
    <w:p>
      <w:pPr>
        <w:spacing w:line="300" w:lineRule="auto"/>
        <w:jc w:val="center"/>
        <w:rPr>
          <w:rFonts w:eastAsia="黑体"/>
          <w:b/>
          <w:bCs/>
          <w:sz w:val="22"/>
        </w:rPr>
      </w:pPr>
      <w:r>
        <w:rPr>
          <w:rFonts w:hint="eastAsia" w:eastAsia="黑体"/>
          <w:b/>
          <w:bCs/>
          <w:sz w:val="22"/>
        </w:rPr>
        <w:t>续</w:t>
      </w:r>
      <w:r>
        <w:rPr>
          <w:rFonts w:eastAsia="黑体"/>
          <w:b/>
          <w:bCs/>
          <w:sz w:val="22"/>
        </w:rPr>
        <w:t>表7.2.</w:t>
      </w:r>
      <w:r>
        <w:rPr>
          <w:rFonts w:hint="eastAsia" w:eastAsia="黑体"/>
          <w:b/>
          <w:bCs/>
          <w:sz w:val="22"/>
        </w:rPr>
        <w:t>1-1</w:t>
      </w:r>
    </w:p>
    <w:tbl>
      <w:tblPr>
        <w:tblStyle w:val="1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10"/>
        <w:gridCol w:w="1494"/>
        <w:gridCol w:w="1668"/>
        <w:gridCol w:w="1666"/>
        <w:gridCol w:w="1431"/>
        <w:gridCol w:w="1429"/>
        <w:gridCol w:w="8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669" w:type="pct"/>
            <w:vMerge w:val="restart"/>
            <w:tcBorders>
              <w:top w:val="single" w:color="auto" w:sz="4" w:space="0"/>
              <w:left w:val="single" w:color="auto" w:sz="4" w:space="0"/>
              <w:right w:val="single" w:color="auto" w:sz="4" w:space="0"/>
            </w:tcBorders>
            <w:noWrap w:val="0"/>
            <w:vAlign w:val="center"/>
          </w:tcPr>
          <w:p>
            <w:pPr>
              <w:jc w:val="center"/>
              <w:rPr>
                <w:bCs/>
                <w:szCs w:val="21"/>
              </w:rPr>
            </w:pPr>
            <w:r>
              <w:rPr>
                <w:bCs/>
                <w:szCs w:val="21"/>
              </w:rPr>
              <w:t>建筑气候区划</w:t>
            </w:r>
          </w:p>
        </w:tc>
        <w:tc>
          <w:tcPr>
            <w:tcW w:w="3923" w:type="pct"/>
            <w:gridSpan w:val="5"/>
            <w:tcBorders>
              <w:top w:val="single" w:color="auto" w:sz="4" w:space="0"/>
              <w:left w:val="single" w:color="auto" w:sz="4" w:space="0"/>
              <w:bottom w:val="single" w:color="auto" w:sz="4" w:space="0"/>
              <w:right w:val="single" w:color="auto" w:sz="4" w:space="0"/>
            </w:tcBorders>
            <w:noWrap w:val="0"/>
            <w:vAlign w:val="center"/>
          </w:tcPr>
          <w:p>
            <w:pPr>
              <w:jc w:val="center"/>
              <w:rPr>
                <w:bCs/>
                <w:szCs w:val="21"/>
              </w:rPr>
            </w:pPr>
            <w:r>
              <w:rPr>
                <w:bCs/>
                <w:szCs w:val="21"/>
              </w:rPr>
              <w:t>人均住宅用地指标A（m</w:t>
            </w:r>
            <w:r>
              <w:rPr>
                <w:bCs/>
                <w:szCs w:val="21"/>
                <w:vertAlign w:val="superscript"/>
              </w:rPr>
              <w:t>2</w:t>
            </w:r>
            <w:r>
              <w:rPr>
                <w:bCs/>
                <w:szCs w:val="21"/>
              </w:rPr>
              <w:t>）</w:t>
            </w:r>
          </w:p>
        </w:tc>
        <w:tc>
          <w:tcPr>
            <w:tcW w:w="408" w:type="pct"/>
            <w:vMerge w:val="restart"/>
            <w:tcBorders>
              <w:top w:val="single" w:color="auto" w:sz="4" w:space="0"/>
              <w:left w:val="single" w:color="auto" w:sz="4" w:space="0"/>
              <w:bottom w:val="single" w:color="auto" w:sz="4" w:space="0"/>
              <w:right w:val="single" w:color="auto" w:sz="4" w:space="0"/>
            </w:tcBorders>
            <w:noWrap w:val="0"/>
            <w:vAlign w:val="center"/>
          </w:tcPr>
          <w:p>
            <w:pPr>
              <w:jc w:val="center"/>
              <w:rPr>
                <w:bCs/>
                <w:szCs w:val="21"/>
              </w:rPr>
            </w:pPr>
            <w:r>
              <w:rPr>
                <w:bCs/>
                <w:szCs w:val="21"/>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669" w:type="pct"/>
            <w:vMerge w:val="continue"/>
            <w:tcBorders>
              <w:left w:val="single" w:color="auto" w:sz="4" w:space="0"/>
              <w:bottom w:val="single" w:color="auto" w:sz="4" w:space="0"/>
              <w:right w:val="single" w:color="auto" w:sz="4" w:space="0"/>
            </w:tcBorders>
            <w:noWrap w:val="0"/>
            <w:vAlign w:val="top"/>
          </w:tcPr>
          <w:p>
            <w:pPr>
              <w:jc w:val="center"/>
              <w:rPr>
                <w:bCs/>
                <w:szCs w:val="21"/>
              </w:rPr>
            </w:pPr>
          </w:p>
        </w:tc>
        <w:tc>
          <w:tcPr>
            <w:tcW w:w="763" w:type="pct"/>
            <w:tcBorders>
              <w:top w:val="single" w:color="auto" w:sz="4" w:space="0"/>
              <w:left w:val="single" w:color="auto" w:sz="4" w:space="0"/>
              <w:bottom w:val="single" w:color="auto" w:sz="4" w:space="0"/>
              <w:right w:val="single" w:color="auto" w:sz="4" w:space="0"/>
            </w:tcBorders>
            <w:noWrap w:val="0"/>
            <w:vAlign w:val="center"/>
          </w:tcPr>
          <w:p>
            <w:pPr>
              <w:jc w:val="center"/>
              <w:rPr>
                <w:bCs/>
                <w:szCs w:val="21"/>
              </w:rPr>
            </w:pPr>
            <w:r>
              <w:rPr>
                <w:bCs/>
                <w:szCs w:val="21"/>
              </w:rPr>
              <w:t>平均3层及以下</w:t>
            </w:r>
          </w:p>
        </w:tc>
        <w:tc>
          <w:tcPr>
            <w:tcW w:w="851" w:type="pct"/>
            <w:tcBorders>
              <w:top w:val="single" w:color="auto" w:sz="4" w:space="0"/>
              <w:left w:val="single" w:color="auto" w:sz="4" w:space="0"/>
              <w:bottom w:val="single" w:color="auto" w:sz="4" w:space="0"/>
              <w:right w:val="single" w:color="auto" w:sz="4" w:space="0"/>
            </w:tcBorders>
            <w:noWrap w:val="0"/>
            <w:vAlign w:val="center"/>
          </w:tcPr>
          <w:p>
            <w:pPr>
              <w:jc w:val="center"/>
              <w:rPr>
                <w:bCs/>
                <w:szCs w:val="21"/>
              </w:rPr>
            </w:pPr>
            <w:r>
              <w:rPr>
                <w:bCs/>
                <w:szCs w:val="21"/>
              </w:rPr>
              <w:t>平均4~6层</w:t>
            </w:r>
          </w:p>
        </w:tc>
        <w:tc>
          <w:tcPr>
            <w:tcW w:w="850" w:type="pct"/>
            <w:tcBorders>
              <w:top w:val="single" w:color="auto" w:sz="4" w:space="0"/>
              <w:left w:val="single" w:color="auto" w:sz="4" w:space="0"/>
              <w:bottom w:val="single" w:color="auto" w:sz="4" w:space="0"/>
              <w:right w:val="single" w:color="auto" w:sz="4" w:space="0"/>
            </w:tcBorders>
            <w:noWrap w:val="0"/>
            <w:vAlign w:val="center"/>
          </w:tcPr>
          <w:p>
            <w:pPr>
              <w:jc w:val="center"/>
              <w:rPr>
                <w:bCs/>
                <w:szCs w:val="21"/>
              </w:rPr>
            </w:pPr>
            <w:r>
              <w:rPr>
                <w:bCs/>
                <w:szCs w:val="21"/>
              </w:rPr>
              <w:t>平均7~9层</w:t>
            </w:r>
          </w:p>
        </w:tc>
        <w:tc>
          <w:tcPr>
            <w:tcW w:w="730" w:type="pct"/>
            <w:tcBorders>
              <w:top w:val="single" w:color="auto" w:sz="4" w:space="0"/>
              <w:left w:val="single" w:color="auto" w:sz="4" w:space="0"/>
              <w:bottom w:val="single" w:color="auto" w:sz="4" w:space="0"/>
              <w:right w:val="single" w:color="auto" w:sz="4" w:space="0"/>
            </w:tcBorders>
            <w:noWrap w:val="0"/>
            <w:vAlign w:val="center"/>
          </w:tcPr>
          <w:p>
            <w:pPr>
              <w:jc w:val="center"/>
              <w:rPr>
                <w:bCs/>
                <w:szCs w:val="21"/>
              </w:rPr>
            </w:pPr>
            <w:r>
              <w:rPr>
                <w:bCs/>
                <w:szCs w:val="21"/>
              </w:rPr>
              <w:t>平均10~18层</w:t>
            </w:r>
          </w:p>
        </w:tc>
        <w:tc>
          <w:tcPr>
            <w:tcW w:w="729" w:type="pct"/>
            <w:tcBorders>
              <w:top w:val="single" w:color="auto" w:sz="4" w:space="0"/>
              <w:left w:val="single" w:color="auto" w:sz="4" w:space="0"/>
              <w:bottom w:val="single" w:color="auto" w:sz="4" w:space="0"/>
              <w:right w:val="single" w:color="auto" w:sz="4" w:space="0"/>
            </w:tcBorders>
            <w:noWrap w:val="0"/>
            <w:vAlign w:val="center"/>
          </w:tcPr>
          <w:p>
            <w:pPr>
              <w:jc w:val="center"/>
              <w:rPr>
                <w:bCs/>
                <w:szCs w:val="21"/>
              </w:rPr>
            </w:pPr>
            <w:r>
              <w:rPr>
                <w:bCs/>
                <w:szCs w:val="21"/>
              </w:rPr>
              <w:t>平均19层及以上</w:t>
            </w:r>
          </w:p>
        </w:tc>
        <w:tc>
          <w:tcPr>
            <w:tcW w:w="408" w:type="pct"/>
            <w:vMerge w:val="continue"/>
            <w:tcBorders>
              <w:top w:val="single" w:color="auto" w:sz="4" w:space="0"/>
              <w:left w:val="single" w:color="auto" w:sz="4" w:space="0"/>
              <w:bottom w:val="single" w:color="auto" w:sz="4" w:space="0"/>
              <w:right w:val="single" w:color="auto" w:sz="4" w:space="0"/>
            </w:tcBorders>
            <w:noWrap w:val="0"/>
            <w:vAlign w:val="center"/>
          </w:tcPr>
          <w:p>
            <w:pPr>
              <w:jc w:val="center"/>
              <w:rPr>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669" w:type="pct"/>
            <w:vMerge w:val="restart"/>
            <w:tcBorders>
              <w:top w:val="single" w:color="auto" w:sz="4" w:space="0"/>
              <w:left w:val="single" w:color="auto" w:sz="4" w:space="0"/>
              <w:right w:val="single" w:color="auto" w:sz="4" w:space="0"/>
            </w:tcBorders>
            <w:noWrap w:val="0"/>
            <w:vAlign w:val="center"/>
          </w:tcPr>
          <w:p>
            <w:pPr>
              <w:jc w:val="left"/>
              <w:rPr>
                <w:szCs w:val="21"/>
              </w:rPr>
            </w:pPr>
            <w:r>
              <w:rPr>
                <w:rFonts w:hint="eastAsia" w:cs="宋体"/>
                <w:szCs w:val="21"/>
              </w:rPr>
              <w:t>Ⅱ</w:t>
            </w:r>
            <w:r>
              <w:rPr>
                <w:szCs w:val="21"/>
              </w:rPr>
              <w:t>、</w:t>
            </w:r>
            <w:r>
              <w:rPr>
                <w:rFonts w:hint="eastAsia" w:cs="宋体"/>
                <w:szCs w:val="21"/>
              </w:rPr>
              <w:t>Ⅵ</w:t>
            </w:r>
          </w:p>
        </w:tc>
        <w:tc>
          <w:tcPr>
            <w:tcW w:w="763" w:type="pct"/>
            <w:tcBorders>
              <w:top w:val="single" w:color="auto" w:sz="4" w:space="0"/>
              <w:left w:val="single" w:color="auto" w:sz="4" w:space="0"/>
              <w:bottom w:val="single" w:color="auto" w:sz="4" w:space="0"/>
              <w:right w:val="single" w:color="auto" w:sz="4" w:space="0"/>
            </w:tcBorders>
            <w:noWrap w:val="0"/>
            <w:vAlign w:val="center"/>
          </w:tcPr>
          <w:p>
            <w:pPr>
              <w:jc w:val="center"/>
              <w:rPr>
                <w:szCs w:val="21"/>
              </w:rPr>
            </w:pPr>
            <w:r>
              <w:rPr>
                <w:szCs w:val="21"/>
              </w:rPr>
              <w:t>33＜A≤36</w:t>
            </w:r>
          </w:p>
        </w:tc>
        <w:tc>
          <w:tcPr>
            <w:tcW w:w="851" w:type="pct"/>
            <w:tcBorders>
              <w:top w:val="single" w:color="auto" w:sz="4" w:space="0"/>
              <w:left w:val="single" w:color="auto" w:sz="4" w:space="0"/>
              <w:bottom w:val="single" w:color="auto" w:sz="4" w:space="0"/>
              <w:right w:val="single" w:color="auto" w:sz="4" w:space="0"/>
            </w:tcBorders>
            <w:noWrap w:val="0"/>
            <w:vAlign w:val="center"/>
          </w:tcPr>
          <w:p>
            <w:pPr>
              <w:jc w:val="center"/>
              <w:rPr>
                <w:szCs w:val="21"/>
              </w:rPr>
            </w:pPr>
            <w:r>
              <w:rPr>
                <w:szCs w:val="21"/>
              </w:rPr>
              <w:t>27＜A≤30</w:t>
            </w:r>
          </w:p>
        </w:tc>
        <w:tc>
          <w:tcPr>
            <w:tcW w:w="850" w:type="pct"/>
            <w:tcBorders>
              <w:top w:val="single" w:color="auto" w:sz="4" w:space="0"/>
              <w:left w:val="single" w:color="auto" w:sz="4" w:space="0"/>
              <w:bottom w:val="single" w:color="auto" w:sz="4" w:space="0"/>
              <w:right w:val="single" w:color="auto" w:sz="4" w:space="0"/>
            </w:tcBorders>
            <w:noWrap w:val="0"/>
            <w:vAlign w:val="center"/>
          </w:tcPr>
          <w:p>
            <w:pPr>
              <w:jc w:val="center"/>
              <w:rPr>
                <w:szCs w:val="21"/>
              </w:rPr>
            </w:pPr>
            <w:r>
              <w:rPr>
                <w:szCs w:val="21"/>
              </w:rPr>
              <w:t>20＜A≤21</w:t>
            </w:r>
          </w:p>
        </w:tc>
        <w:tc>
          <w:tcPr>
            <w:tcW w:w="730" w:type="pct"/>
            <w:tcBorders>
              <w:top w:val="single" w:color="auto" w:sz="4" w:space="0"/>
              <w:left w:val="single" w:color="auto" w:sz="4" w:space="0"/>
              <w:bottom w:val="single" w:color="auto" w:sz="4" w:space="0"/>
              <w:right w:val="single" w:color="auto" w:sz="4" w:space="0"/>
            </w:tcBorders>
            <w:noWrap w:val="0"/>
            <w:vAlign w:val="center"/>
          </w:tcPr>
          <w:p>
            <w:pPr>
              <w:jc w:val="center"/>
              <w:rPr>
                <w:szCs w:val="21"/>
              </w:rPr>
            </w:pPr>
            <w:r>
              <w:rPr>
                <w:szCs w:val="21"/>
              </w:rPr>
              <w:t>16＜A≤17</w:t>
            </w:r>
          </w:p>
        </w:tc>
        <w:tc>
          <w:tcPr>
            <w:tcW w:w="729" w:type="pct"/>
            <w:tcBorders>
              <w:top w:val="single" w:color="auto" w:sz="4" w:space="0"/>
              <w:left w:val="single" w:color="auto" w:sz="4" w:space="0"/>
              <w:bottom w:val="single" w:color="auto" w:sz="4" w:space="0"/>
              <w:right w:val="single" w:color="auto" w:sz="4" w:space="0"/>
            </w:tcBorders>
            <w:noWrap w:val="0"/>
            <w:vAlign w:val="center"/>
          </w:tcPr>
          <w:p>
            <w:pPr>
              <w:jc w:val="center"/>
              <w:rPr>
                <w:szCs w:val="21"/>
              </w:rPr>
            </w:pPr>
            <w:r>
              <w:rPr>
                <w:szCs w:val="21"/>
              </w:rPr>
              <w:t>12＜A≤13</w:t>
            </w:r>
          </w:p>
        </w:tc>
        <w:tc>
          <w:tcPr>
            <w:tcW w:w="408" w:type="pct"/>
            <w:tcBorders>
              <w:top w:val="single" w:color="auto" w:sz="4" w:space="0"/>
              <w:left w:val="single" w:color="auto" w:sz="4" w:space="0"/>
              <w:bottom w:val="single" w:color="auto" w:sz="4" w:space="0"/>
              <w:right w:val="single" w:color="auto" w:sz="4" w:space="0"/>
            </w:tcBorders>
            <w:noWrap w:val="0"/>
            <w:vAlign w:val="center"/>
          </w:tcPr>
          <w:p>
            <w:pPr>
              <w:jc w:val="center"/>
              <w:rPr>
                <w:szCs w:val="21"/>
              </w:rPr>
            </w:pPr>
            <w:r>
              <w:rPr>
                <w:szCs w:val="21"/>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669" w:type="pct"/>
            <w:vMerge w:val="continue"/>
            <w:tcBorders>
              <w:left w:val="single" w:color="auto" w:sz="4" w:space="0"/>
              <w:bottom w:val="single" w:color="auto" w:sz="4" w:space="0"/>
              <w:right w:val="single" w:color="auto" w:sz="4" w:space="0"/>
            </w:tcBorders>
            <w:noWrap w:val="0"/>
            <w:vAlign w:val="top"/>
          </w:tcPr>
          <w:p>
            <w:pPr>
              <w:jc w:val="left"/>
              <w:rPr>
                <w:szCs w:val="21"/>
              </w:rPr>
            </w:pPr>
          </w:p>
        </w:tc>
        <w:tc>
          <w:tcPr>
            <w:tcW w:w="763" w:type="pct"/>
            <w:tcBorders>
              <w:top w:val="single" w:color="auto" w:sz="4" w:space="0"/>
              <w:left w:val="single" w:color="auto" w:sz="4" w:space="0"/>
              <w:bottom w:val="single" w:color="auto" w:sz="4" w:space="0"/>
              <w:right w:val="single" w:color="auto" w:sz="4" w:space="0"/>
            </w:tcBorders>
            <w:noWrap w:val="0"/>
            <w:vAlign w:val="center"/>
          </w:tcPr>
          <w:p>
            <w:pPr>
              <w:jc w:val="center"/>
              <w:rPr>
                <w:szCs w:val="21"/>
              </w:rPr>
            </w:pPr>
            <w:r>
              <w:rPr>
                <w:szCs w:val="21"/>
              </w:rPr>
              <w:t>A≤33</w:t>
            </w:r>
          </w:p>
        </w:tc>
        <w:tc>
          <w:tcPr>
            <w:tcW w:w="851" w:type="pct"/>
            <w:tcBorders>
              <w:top w:val="single" w:color="auto" w:sz="4" w:space="0"/>
              <w:left w:val="single" w:color="auto" w:sz="4" w:space="0"/>
              <w:bottom w:val="single" w:color="auto" w:sz="4" w:space="0"/>
              <w:right w:val="single" w:color="auto" w:sz="4" w:space="0"/>
            </w:tcBorders>
            <w:noWrap w:val="0"/>
            <w:vAlign w:val="center"/>
          </w:tcPr>
          <w:p>
            <w:pPr>
              <w:jc w:val="center"/>
              <w:rPr>
                <w:szCs w:val="21"/>
              </w:rPr>
            </w:pPr>
            <w:r>
              <w:rPr>
                <w:szCs w:val="21"/>
              </w:rPr>
              <w:t>A≤27</w:t>
            </w:r>
          </w:p>
        </w:tc>
        <w:tc>
          <w:tcPr>
            <w:tcW w:w="850" w:type="pct"/>
            <w:tcBorders>
              <w:top w:val="single" w:color="auto" w:sz="4" w:space="0"/>
              <w:left w:val="single" w:color="auto" w:sz="4" w:space="0"/>
              <w:bottom w:val="single" w:color="auto" w:sz="4" w:space="0"/>
              <w:right w:val="single" w:color="auto" w:sz="4" w:space="0"/>
            </w:tcBorders>
            <w:noWrap w:val="0"/>
            <w:vAlign w:val="center"/>
          </w:tcPr>
          <w:p>
            <w:pPr>
              <w:jc w:val="center"/>
              <w:rPr>
                <w:szCs w:val="21"/>
              </w:rPr>
            </w:pPr>
            <w:r>
              <w:rPr>
                <w:szCs w:val="21"/>
              </w:rPr>
              <w:t>A≤20</w:t>
            </w:r>
          </w:p>
        </w:tc>
        <w:tc>
          <w:tcPr>
            <w:tcW w:w="730" w:type="pct"/>
            <w:tcBorders>
              <w:top w:val="single" w:color="auto" w:sz="4" w:space="0"/>
              <w:left w:val="single" w:color="auto" w:sz="4" w:space="0"/>
              <w:bottom w:val="single" w:color="auto" w:sz="4" w:space="0"/>
              <w:right w:val="single" w:color="auto" w:sz="4" w:space="0"/>
            </w:tcBorders>
            <w:noWrap w:val="0"/>
            <w:vAlign w:val="center"/>
          </w:tcPr>
          <w:p>
            <w:pPr>
              <w:jc w:val="center"/>
              <w:rPr>
                <w:szCs w:val="21"/>
              </w:rPr>
            </w:pPr>
            <w:r>
              <w:rPr>
                <w:szCs w:val="21"/>
              </w:rPr>
              <w:t>A≤16</w:t>
            </w:r>
          </w:p>
        </w:tc>
        <w:tc>
          <w:tcPr>
            <w:tcW w:w="729" w:type="pct"/>
            <w:tcBorders>
              <w:top w:val="single" w:color="auto" w:sz="4" w:space="0"/>
              <w:left w:val="single" w:color="auto" w:sz="4" w:space="0"/>
              <w:bottom w:val="single" w:color="auto" w:sz="4" w:space="0"/>
              <w:right w:val="single" w:color="auto" w:sz="4" w:space="0"/>
            </w:tcBorders>
            <w:noWrap w:val="0"/>
            <w:vAlign w:val="center"/>
          </w:tcPr>
          <w:p>
            <w:pPr>
              <w:jc w:val="center"/>
              <w:rPr>
                <w:szCs w:val="21"/>
              </w:rPr>
            </w:pPr>
            <w:r>
              <w:rPr>
                <w:szCs w:val="21"/>
              </w:rPr>
              <w:t>A≤12</w:t>
            </w:r>
          </w:p>
        </w:tc>
        <w:tc>
          <w:tcPr>
            <w:tcW w:w="408" w:type="pct"/>
            <w:tcBorders>
              <w:top w:val="single" w:color="auto" w:sz="4" w:space="0"/>
              <w:left w:val="single" w:color="auto" w:sz="4" w:space="0"/>
              <w:bottom w:val="single" w:color="auto" w:sz="4" w:space="0"/>
              <w:right w:val="single" w:color="auto" w:sz="4" w:space="0"/>
            </w:tcBorders>
            <w:noWrap w:val="0"/>
            <w:vAlign w:val="center"/>
          </w:tcPr>
          <w:p>
            <w:pPr>
              <w:jc w:val="center"/>
              <w:rPr>
                <w:szCs w:val="21"/>
              </w:rPr>
            </w:pPr>
            <w:r>
              <w:rPr>
                <w:szCs w:val="21"/>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669" w:type="pct"/>
            <w:vMerge w:val="restart"/>
            <w:tcBorders>
              <w:top w:val="single" w:color="auto" w:sz="4" w:space="0"/>
              <w:left w:val="single" w:color="auto" w:sz="4" w:space="0"/>
              <w:right w:val="single" w:color="auto" w:sz="4" w:space="0"/>
            </w:tcBorders>
            <w:noWrap w:val="0"/>
            <w:vAlign w:val="center"/>
          </w:tcPr>
          <w:p>
            <w:pPr>
              <w:jc w:val="left"/>
              <w:rPr>
                <w:szCs w:val="21"/>
              </w:rPr>
            </w:pPr>
            <w:r>
              <w:rPr>
                <w:rFonts w:hint="eastAsia" w:cs="宋体"/>
                <w:szCs w:val="21"/>
              </w:rPr>
              <w:t>Ⅲ</w:t>
            </w:r>
            <w:r>
              <w:rPr>
                <w:szCs w:val="21"/>
              </w:rPr>
              <w:t>、</w:t>
            </w:r>
            <w:r>
              <w:rPr>
                <w:rFonts w:hint="eastAsia" w:cs="宋体"/>
                <w:szCs w:val="21"/>
              </w:rPr>
              <w:t>Ⅳ</w:t>
            </w:r>
            <w:r>
              <w:rPr>
                <w:szCs w:val="21"/>
              </w:rPr>
              <w:t>、</w:t>
            </w:r>
            <w:r>
              <w:rPr>
                <w:rFonts w:hint="eastAsia" w:cs="宋体"/>
                <w:szCs w:val="21"/>
              </w:rPr>
              <w:t>Ⅴ</w:t>
            </w:r>
          </w:p>
        </w:tc>
        <w:tc>
          <w:tcPr>
            <w:tcW w:w="763" w:type="pct"/>
            <w:tcBorders>
              <w:top w:val="single" w:color="auto" w:sz="4" w:space="0"/>
              <w:left w:val="single" w:color="auto" w:sz="4" w:space="0"/>
              <w:bottom w:val="single" w:color="auto" w:sz="4" w:space="0"/>
              <w:right w:val="single" w:color="auto" w:sz="4" w:space="0"/>
            </w:tcBorders>
            <w:noWrap w:val="0"/>
            <w:vAlign w:val="center"/>
          </w:tcPr>
          <w:p>
            <w:pPr>
              <w:jc w:val="center"/>
              <w:rPr>
                <w:szCs w:val="21"/>
              </w:rPr>
            </w:pPr>
            <w:r>
              <w:rPr>
                <w:szCs w:val="21"/>
              </w:rPr>
              <w:t>33＜A≤36</w:t>
            </w:r>
          </w:p>
        </w:tc>
        <w:tc>
          <w:tcPr>
            <w:tcW w:w="851" w:type="pct"/>
            <w:tcBorders>
              <w:top w:val="single" w:color="auto" w:sz="4" w:space="0"/>
              <w:left w:val="single" w:color="auto" w:sz="4" w:space="0"/>
              <w:bottom w:val="single" w:color="auto" w:sz="4" w:space="0"/>
              <w:right w:val="single" w:color="auto" w:sz="4" w:space="0"/>
            </w:tcBorders>
            <w:noWrap w:val="0"/>
            <w:vAlign w:val="center"/>
          </w:tcPr>
          <w:p>
            <w:pPr>
              <w:jc w:val="center"/>
              <w:rPr>
                <w:szCs w:val="21"/>
              </w:rPr>
            </w:pPr>
            <w:r>
              <w:rPr>
                <w:szCs w:val="21"/>
              </w:rPr>
              <w:t>24＜A≤27</w:t>
            </w:r>
          </w:p>
        </w:tc>
        <w:tc>
          <w:tcPr>
            <w:tcW w:w="850" w:type="pct"/>
            <w:tcBorders>
              <w:top w:val="single" w:color="auto" w:sz="4" w:space="0"/>
              <w:left w:val="single" w:color="auto" w:sz="4" w:space="0"/>
              <w:bottom w:val="single" w:color="auto" w:sz="4" w:space="0"/>
              <w:right w:val="single" w:color="auto" w:sz="4" w:space="0"/>
            </w:tcBorders>
            <w:noWrap w:val="0"/>
            <w:vAlign w:val="center"/>
          </w:tcPr>
          <w:p>
            <w:pPr>
              <w:jc w:val="center"/>
              <w:rPr>
                <w:szCs w:val="21"/>
              </w:rPr>
            </w:pPr>
            <w:r>
              <w:rPr>
                <w:szCs w:val="21"/>
              </w:rPr>
              <w:t>19＜A≤20</w:t>
            </w:r>
          </w:p>
        </w:tc>
        <w:tc>
          <w:tcPr>
            <w:tcW w:w="730" w:type="pct"/>
            <w:tcBorders>
              <w:top w:val="single" w:color="auto" w:sz="4" w:space="0"/>
              <w:left w:val="single" w:color="auto" w:sz="4" w:space="0"/>
              <w:bottom w:val="single" w:color="auto" w:sz="4" w:space="0"/>
              <w:right w:val="single" w:color="auto" w:sz="4" w:space="0"/>
            </w:tcBorders>
            <w:noWrap w:val="0"/>
            <w:vAlign w:val="center"/>
          </w:tcPr>
          <w:p>
            <w:pPr>
              <w:jc w:val="center"/>
              <w:rPr>
                <w:szCs w:val="21"/>
              </w:rPr>
            </w:pPr>
            <w:r>
              <w:rPr>
                <w:szCs w:val="21"/>
              </w:rPr>
              <w:t>15＜A≤16</w:t>
            </w:r>
          </w:p>
        </w:tc>
        <w:tc>
          <w:tcPr>
            <w:tcW w:w="729" w:type="pct"/>
            <w:tcBorders>
              <w:top w:val="single" w:color="auto" w:sz="4" w:space="0"/>
              <w:left w:val="single" w:color="auto" w:sz="4" w:space="0"/>
              <w:bottom w:val="single" w:color="auto" w:sz="4" w:space="0"/>
              <w:right w:val="single" w:color="auto" w:sz="4" w:space="0"/>
            </w:tcBorders>
            <w:noWrap w:val="0"/>
            <w:vAlign w:val="center"/>
          </w:tcPr>
          <w:p>
            <w:pPr>
              <w:jc w:val="center"/>
              <w:rPr>
                <w:szCs w:val="21"/>
              </w:rPr>
            </w:pPr>
            <w:r>
              <w:rPr>
                <w:szCs w:val="21"/>
              </w:rPr>
              <w:t>11＜A≤12</w:t>
            </w:r>
          </w:p>
        </w:tc>
        <w:tc>
          <w:tcPr>
            <w:tcW w:w="408" w:type="pct"/>
            <w:tcBorders>
              <w:top w:val="single" w:color="auto" w:sz="4" w:space="0"/>
              <w:left w:val="single" w:color="auto" w:sz="4" w:space="0"/>
              <w:bottom w:val="single" w:color="auto" w:sz="4" w:space="0"/>
              <w:right w:val="single" w:color="auto" w:sz="4" w:space="0"/>
            </w:tcBorders>
            <w:noWrap w:val="0"/>
            <w:vAlign w:val="center"/>
          </w:tcPr>
          <w:p>
            <w:pPr>
              <w:jc w:val="center"/>
              <w:rPr>
                <w:szCs w:val="21"/>
              </w:rPr>
            </w:pPr>
            <w:r>
              <w:rPr>
                <w:szCs w:val="21"/>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669" w:type="pct"/>
            <w:vMerge w:val="continue"/>
            <w:tcBorders>
              <w:left w:val="single" w:color="auto" w:sz="4" w:space="0"/>
              <w:bottom w:val="single" w:color="auto" w:sz="4" w:space="0"/>
              <w:right w:val="single" w:color="auto" w:sz="4" w:space="0"/>
            </w:tcBorders>
            <w:noWrap w:val="0"/>
            <w:vAlign w:val="top"/>
          </w:tcPr>
          <w:p>
            <w:pPr>
              <w:jc w:val="left"/>
              <w:rPr>
                <w:szCs w:val="21"/>
              </w:rPr>
            </w:pPr>
          </w:p>
        </w:tc>
        <w:tc>
          <w:tcPr>
            <w:tcW w:w="763" w:type="pct"/>
            <w:tcBorders>
              <w:top w:val="single" w:color="auto" w:sz="4" w:space="0"/>
              <w:left w:val="single" w:color="auto" w:sz="4" w:space="0"/>
              <w:bottom w:val="single" w:color="auto" w:sz="4" w:space="0"/>
              <w:right w:val="single" w:color="auto" w:sz="4" w:space="0"/>
            </w:tcBorders>
            <w:noWrap w:val="0"/>
            <w:vAlign w:val="center"/>
          </w:tcPr>
          <w:p>
            <w:pPr>
              <w:jc w:val="center"/>
              <w:rPr>
                <w:szCs w:val="21"/>
              </w:rPr>
            </w:pPr>
            <w:r>
              <w:rPr>
                <w:szCs w:val="21"/>
              </w:rPr>
              <w:t>A≤33</w:t>
            </w:r>
          </w:p>
        </w:tc>
        <w:tc>
          <w:tcPr>
            <w:tcW w:w="851" w:type="pct"/>
            <w:tcBorders>
              <w:top w:val="single" w:color="auto" w:sz="4" w:space="0"/>
              <w:left w:val="single" w:color="auto" w:sz="4" w:space="0"/>
              <w:bottom w:val="single" w:color="auto" w:sz="4" w:space="0"/>
              <w:right w:val="single" w:color="auto" w:sz="4" w:space="0"/>
            </w:tcBorders>
            <w:noWrap w:val="0"/>
            <w:vAlign w:val="center"/>
          </w:tcPr>
          <w:p>
            <w:pPr>
              <w:jc w:val="center"/>
              <w:rPr>
                <w:szCs w:val="21"/>
              </w:rPr>
            </w:pPr>
            <w:r>
              <w:rPr>
                <w:szCs w:val="21"/>
              </w:rPr>
              <w:t>A≤24</w:t>
            </w:r>
          </w:p>
        </w:tc>
        <w:tc>
          <w:tcPr>
            <w:tcW w:w="850" w:type="pct"/>
            <w:tcBorders>
              <w:top w:val="single" w:color="auto" w:sz="4" w:space="0"/>
              <w:left w:val="single" w:color="auto" w:sz="4" w:space="0"/>
              <w:bottom w:val="single" w:color="auto" w:sz="4" w:space="0"/>
              <w:right w:val="single" w:color="auto" w:sz="4" w:space="0"/>
            </w:tcBorders>
            <w:noWrap w:val="0"/>
            <w:vAlign w:val="center"/>
          </w:tcPr>
          <w:p>
            <w:pPr>
              <w:jc w:val="center"/>
              <w:rPr>
                <w:szCs w:val="21"/>
              </w:rPr>
            </w:pPr>
            <w:r>
              <w:rPr>
                <w:szCs w:val="21"/>
              </w:rPr>
              <w:t>A≤19</w:t>
            </w:r>
          </w:p>
        </w:tc>
        <w:tc>
          <w:tcPr>
            <w:tcW w:w="730" w:type="pct"/>
            <w:tcBorders>
              <w:top w:val="single" w:color="auto" w:sz="4" w:space="0"/>
              <w:left w:val="single" w:color="auto" w:sz="4" w:space="0"/>
              <w:bottom w:val="single" w:color="auto" w:sz="4" w:space="0"/>
              <w:right w:val="single" w:color="auto" w:sz="4" w:space="0"/>
            </w:tcBorders>
            <w:noWrap w:val="0"/>
            <w:vAlign w:val="center"/>
          </w:tcPr>
          <w:p>
            <w:pPr>
              <w:jc w:val="center"/>
              <w:rPr>
                <w:szCs w:val="21"/>
              </w:rPr>
            </w:pPr>
            <w:r>
              <w:rPr>
                <w:szCs w:val="21"/>
              </w:rPr>
              <w:t>A≤15</w:t>
            </w:r>
          </w:p>
        </w:tc>
        <w:tc>
          <w:tcPr>
            <w:tcW w:w="729" w:type="pct"/>
            <w:tcBorders>
              <w:top w:val="single" w:color="auto" w:sz="4" w:space="0"/>
              <w:left w:val="single" w:color="auto" w:sz="4" w:space="0"/>
              <w:bottom w:val="single" w:color="auto" w:sz="4" w:space="0"/>
              <w:right w:val="single" w:color="auto" w:sz="4" w:space="0"/>
            </w:tcBorders>
            <w:noWrap w:val="0"/>
            <w:vAlign w:val="center"/>
          </w:tcPr>
          <w:p>
            <w:pPr>
              <w:jc w:val="center"/>
              <w:rPr>
                <w:szCs w:val="21"/>
              </w:rPr>
            </w:pPr>
            <w:r>
              <w:rPr>
                <w:szCs w:val="21"/>
              </w:rPr>
              <w:t>A≤11</w:t>
            </w:r>
          </w:p>
        </w:tc>
        <w:tc>
          <w:tcPr>
            <w:tcW w:w="408" w:type="pct"/>
            <w:tcBorders>
              <w:top w:val="single" w:color="auto" w:sz="4" w:space="0"/>
              <w:left w:val="single" w:color="auto" w:sz="4" w:space="0"/>
              <w:bottom w:val="single" w:color="auto" w:sz="4" w:space="0"/>
              <w:right w:val="single" w:color="auto" w:sz="4" w:space="0"/>
            </w:tcBorders>
            <w:noWrap w:val="0"/>
            <w:vAlign w:val="center"/>
          </w:tcPr>
          <w:p>
            <w:pPr>
              <w:jc w:val="center"/>
              <w:rPr>
                <w:szCs w:val="21"/>
              </w:rPr>
            </w:pPr>
            <w:r>
              <w:rPr>
                <w:szCs w:val="21"/>
              </w:rPr>
              <w:t>20</w:t>
            </w:r>
          </w:p>
        </w:tc>
      </w:tr>
    </w:tbl>
    <w:p>
      <w:pPr>
        <w:spacing w:line="200" w:lineRule="exact"/>
        <w:ind w:firstLine="420" w:firstLineChars="200"/>
        <w:rPr>
          <w:szCs w:val="21"/>
        </w:rPr>
      </w:pPr>
    </w:p>
    <w:p>
      <w:pPr>
        <w:ind w:firstLine="482" w:firstLineChars="200"/>
        <w:rPr>
          <w:b/>
          <w:sz w:val="24"/>
          <w:szCs w:val="24"/>
        </w:rPr>
      </w:pPr>
      <w:r>
        <w:rPr>
          <w:rFonts w:hint="eastAsia"/>
          <w:b/>
          <w:sz w:val="24"/>
          <w:szCs w:val="24"/>
        </w:rPr>
        <w:t xml:space="preserve">2 </w:t>
      </w:r>
      <w:r>
        <w:rPr>
          <w:rFonts w:hint="eastAsia"/>
          <w:sz w:val="24"/>
          <w:szCs w:val="24"/>
        </w:rPr>
        <w:t>对于公共建筑，根据不同功能建筑的容积率(R)按表7.2.1-2的规则评分。</w:t>
      </w:r>
    </w:p>
    <w:p>
      <w:pPr>
        <w:spacing w:line="300" w:lineRule="auto"/>
        <w:jc w:val="center"/>
        <w:rPr>
          <w:rFonts w:eastAsia="黑体"/>
          <w:b/>
          <w:bCs/>
          <w:sz w:val="22"/>
        </w:rPr>
      </w:pPr>
      <w:r>
        <w:rPr>
          <w:rFonts w:eastAsia="黑体"/>
          <w:b/>
          <w:bCs/>
          <w:sz w:val="22"/>
        </w:rPr>
        <w:t>表7.2.1-2 公共建筑容积率（R）评分规则</w:t>
      </w:r>
    </w:p>
    <w:tbl>
      <w:tblPr>
        <w:tblStyle w:val="1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517"/>
        <w:gridCol w:w="4766"/>
        <w:gridCol w:w="15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jc w:val="center"/>
        </w:trPr>
        <w:tc>
          <w:tcPr>
            <w:tcW w:w="1795" w:type="pct"/>
            <w:tcBorders>
              <w:top w:val="single" w:color="auto" w:sz="4" w:space="0"/>
              <w:left w:val="single" w:color="auto" w:sz="4" w:space="0"/>
              <w:bottom w:val="single" w:color="auto" w:sz="4" w:space="0"/>
              <w:right w:val="single" w:color="auto" w:sz="4" w:space="0"/>
            </w:tcBorders>
            <w:noWrap w:val="0"/>
            <w:vAlign w:val="center"/>
          </w:tcPr>
          <w:p>
            <w:pPr>
              <w:jc w:val="center"/>
              <w:rPr>
                <w:bCs/>
                <w:szCs w:val="21"/>
              </w:rPr>
            </w:pPr>
            <w:r>
              <w:rPr>
                <w:bCs/>
                <w:szCs w:val="21"/>
              </w:rPr>
              <w:t>行政办公、商务办公、商业金融、旅馆饭店、交通枢纽等</w:t>
            </w:r>
          </w:p>
        </w:tc>
        <w:tc>
          <w:tcPr>
            <w:tcW w:w="2432" w:type="pct"/>
            <w:tcBorders>
              <w:top w:val="single" w:color="auto" w:sz="4" w:space="0"/>
              <w:left w:val="single" w:color="auto" w:sz="4" w:space="0"/>
              <w:bottom w:val="single" w:color="auto" w:sz="4" w:space="0"/>
              <w:right w:val="single" w:color="auto" w:sz="4" w:space="0"/>
            </w:tcBorders>
            <w:noWrap w:val="0"/>
            <w:vAlign w:val="top"/>
          </w:tcPr>
          <w:p>
            <w:pPr>
              <w:jc w:val="center"/>
              <w:rPr>
                <w:bCs/>
                <w:szCs w:val="21"/>
              </w:rPr>
            </w:pPr>
            <w:r>
              <w:rPr>
                <w:bCs/>
                <w:szCs w:val="21"/>
              </w:rPr>
              <w:t>教育、文化、体育、医疗</w:t>
            </w:r>
          </w:p>
          <w:p>
            <w:pPr>
              <w:jc w:val="center"/>
              <w:rPr>
                <w:bCs/>
                <w:szCs w:val="21"/>
              </w:rPr>
            </w:pPr>
            <w:r>
              <w:rPr>
                <w:bCs/>
                <w:szCs w:val="21"/>
              </w:rPr>
              <w:t>卫生、社会福利等</w:t>
            </w:r>
          </w:p>
        </w:tc>
        <w:tc>
          <w:tcPr>
            <w:tcW w:w="773" w:type="pct"/>
            <w:tcBorders>
              <w:top w:val="single" w:color="auto" w:sz="4" w:space="0"/>
              <w:left w:val="single" w:color="auto" w:sz="4" w:space="0"/>
              <w:bottom w:val="single" w:color="auto" w:sz="4" w:space="0"/>
              <w:right w:val="single" w:color="auto" w:sz="4" w:space="0"/>
            </w:tcBorders>
            <w:noWrap w:val="0"/>
            <w:vAlign w:val="center"/>
          </w:tcPr>
          <w:p>
            <w:pPr>
              <w:jc w:val="center"/>
              <w:rPr>
                <w:bCs/>
                <w:szCs w:val="21"/>
              </w:rPr>
            </w:pPr>
            <w:r>
              <w:rPr>
                <w:bCs/>
                <w:szCs w:val="21"/>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jc w:val="center"/>
        </w:trPr>
        <w:tc>
          <w:tcPr>
            <w:tcW w:w="1795" w:type="pct"/>
            <w:tcBorders>
              <w:top w:val="single" w:color="auto" w:sz="4" w:space="0"/>
              <w:left w:val="single" w:color="auto" w:sz="4" w:space="0"/>
              <w:bottom w:val="single" w:color="auto" w:sz="4" w:space="0"/>
              <w:right w:val="single" w:color="auto" w:sz="4" w:space="0"/>
            </w:tcBorders>
            <w:noWrap w:val="0"/>
            <w:vAlign w:val="center"/>
          </w:tcPr>
          <w:p>
            <w:pPr>
              <w:jc w:val="center"/>
              <w:rPr>
                <w:szCs w:val="21"/>
              </w:rPr>
            </w:pPr>
            <w:r>
              <w:rPr>
                <w:szCs w:val="21"/>
              </w:rPr>
              <w:t>1.0≤R＜1.5</w:t>
            </w:r>
          </w:p>
        </w:tc>
        <w:tc>
          <w:tcPr>
            <w:tcW w:w="2432" w:type="pct"/>
            <w:tcBorders>
              <w:top w:val="single" w:color="auto" w:sz="4" w:space="0"/>
              <w:left w:val="single" w:color="auto" w:sz="4" w:space="0"/>
              <w:bottom w:val="single" w:color="auto" w:sz="4" w:space="0"/>
              <w:right w:val="single" w:color="auto" w:sz="4" w:space="0"/>
            </w:tcBorders>
            <w:noWrap w:val="0"/>
            <w:vAlign w:val="top"/>
          </w:tcPr>
          <w:p>
            <w:pPr>
              <w:jc w:val="center"/>
              <w:rPr>
                <w:szCs w:val="21"/>
              </w:rPr>
            </w:pPr>
            <w:r>
              <w:rPr>
                <w:szCs w:val="21"/>
              </w:rPr>
              <w:t>0.5≤R＜0.8</w:t>
            </w:r>
          </w:p>
        </w:tc>
        <w:tc>
          <w:tcPr>
            <w:tcW w:w="773" w:type="pct"/>
            <w:tcBorders>
              <w:top w:val="single" w:color="auto" w:sz="4" w:space="0"/>
              <w:left w:val="single" w:color="auto" w:sz="4" w:space="0"/>
              <w:bottom w:val="single" w:color="auto" w:sz="4" w:space="0"/>
              <w:right w:val="single" w:color="auto" w:sz="4" w:space="0"/>
            </w:tcBorders>
            <w:noWrap w:val="0"/>
            <w:vAlign w:val="center"/>
          </w:tcPr>
          <w:p>
            <w:pPr>
              <w:jc w:val="center"/>
              <w:rPr>
                <w:szCs w:val="21"/>
              </w:rPr>
            </w:pPr>
            <w:r>
              <w:rPr>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jc w:val="center"/>
        </w:trPr>
        <w:tc>
          <w:tcPr>
            <w:tcW w:w="1795" w:type="pct"/>
            <w:tcBorders>
              <w:top w:val="single" w:color="auto" w:sz="4" w:space="0"/>
              <w:left w:val="single" w:color="auto" w:sz="4" w:space="0"/>
              <w:bottom w:val="single" w:color="auto" w:sz="4" w:space="0"/>
              <w:right w:val="single" w:color="auto" w:sz="4" w:space="0"/>
            </w:tcBorders>
            <w:noWrap w:val="0"/>
            <w:vAlign w:val="center"/>
          </w:tcPr>
          <w:p>
            <w:pPr>
              <w:jc w:val="center"/>
              <w:rPr>
                <w:szCs w:val="21"/>
              </w:rPr>
            </w:pPr>
            <w:r>
              <w:rPr>
                <w:szCs w:val="21"/>
              </w:rPr>
              <w:t>1.5≤R＜2.5</w:t>
            </w:r>
          </w:p>
        </w:tc>
        <w:tc>
          <w:tcPr>
            <w:tcW w:w="2432" w:type="pct"/>
            <w:tcBorders>
              <w:top w:val="single" w:color="auto" w:sz="4" w:space="0"/>
              <w:left w:val="single" w:color="auto" w:sz="4" w:space="0"/>
              <w:bottom w:val="single" w:color="auto" w:sz="4" w:space="0"/>
              <w:right w:val="single" w:color="auto" w:sz="4" w:space="0"/>
            </w:tcBorders>
            <w:noWrap w:val="0"/>
            <w:vAlign w:val="top"/>
          </w:tcPr>
          <w:p>
            <w:pPr>
              <w:jc w:val="center"/>
              <w:rPr>
                <w:szCs w:val="21"/>
              </w:rPr>
            </w:pPr>
            <w:r>
              <w:rPr>
                <w:szCs w:val="21"/>
              </w:rPr>
              <w:t>R≥2.0</w:t>
            </w:r>
          </w:p>
        </w:tc>
        <w:tc>
          <w:tcPr>
            <w:tcW w:w="773" w:type="pct"/>
            <w:tcBorders>
              <w:top w:val="single" w:color="auto" w:sz="4" w:space="0"/>
              <w:left w:val="single" w:color="auto" w:sz="4" w:space="0"/>
              <w:bottom w:val="single" w:color="auto" w:sz="4" w:space="0"/>
              <w:right w:val="single" w:color="auto" w:sz="4" w:space="0"/>
            </w:tcBorders>
            <w:noWrap w:val="0"/>
            <w:vAlign w:val="center"/>
          </w:tcPr>
          <w:p>
            <w:pPr>
              <w:jc w:val="center"/>
              <w:rPr>
                <w:szCs w:val="21"/>
              </w:rPr>
            </w:pPr>
            <w:r>
              <w:rPr>
                <w:szCs w:val="21"/>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jc w:val="center"/>
        </w:trPr>
        <w:tc>
          <w:tcPr>
            <w:tcW w:w="1795" w:type="pct"/>
            <w:tcBorders>
              <w:top w:val="single" w:color="auto" w:sz="4" w:space="0"/>
              <w:left w:val="single" w:color="auto" w:sz="4" w:space="0"/>
              <w:bottom w:val="single" w:color="auto" w:sz="4" w:space="0"/>
              <w:right w:val="single" w:color="auto" w:sz="4" w:space="0"/>
            </w:tcBorders>
            <w:noWrap w:val="0"/>
            <w:vAlign w:val="center"/>
          </w:tcPr>
          <w:p>
            <w:pPr>
              <w:jc w:val="center"/>
              <w:rPr>
                <w:szCs w:val="21"/>
              </w:rPr>
            </w:pPr>
            <w:r>
              <w:rPr>
                <w:szCs w:val="21"/>
              </w:rPr>
              <w:t>2.5≤R＜3.5</w:t>
            </w:r>
          </w:p>
        </w:tc>
        <w:tc>
          <w:tcPr>
            <w:tcW w:w="2432" w:type="pct"/>
            <w:tcBorders>
              <w:top w:val="single" w:color="auto" w:sz="4" w:space="0"/>
              <w:left w:val="single" w:color="auto" w:sz="4" w:space="0"/>
              <w:bottom w:val="single" w:color="auto" w:sz="4" w:space="0"/>
              <w:right w:val="single" w:color="auto" w:sz="4" w:space="0"/>
            </w:tcBorders>
            <w:noWrap w:val="0"/>
            <w:vAlign w:val="top"/>
          </w:tcPr>
          <w:p>
            <w:pPr>
              <w:jc w:val="center"/>
              <w:rPr>
                <w:szCs w:val="21"/>
              </w:rPr>
            </w:pPr>
            <w:r>
              <w:rPr>
                <w:szCs w:val="21"/>
              </w:rPr>
              <w:t>0.8≤R＜1.5</w:t>
            </w:r>
          </w:p>
        </w:tc>
        <w:tc>
          <w:tcPr>
            <w:tcW w:w="773" w:type="pct"/>
            <w:tcBorders>
              <w:top w:val="single" w:color="auto" w:sz="4" w:space="0"/>
              <w:left w:val="single" w:color="auto" w:sz="4" w:space="0"/>
              <w:bottom w:val="single" w:color="auto" w:sz="4" w:space="0"/>
              <w:right w:val="single" w:color="auto" w:sz="4" w:space="0"/>
            </w:tcBorders>
            <w:noWrap w:val="0"/>
            <w:vAlign w:val="center"/>
          </w:tcPr>
          <w:p>
            <w:pPr>
              <w:jc w:val="center"/>
              <w:rPr>
                <w:szCs w:val="21"/>
              </w:rPr>
            </w:pPr>
            <w:r>
              <w:rPr>
                <w:szCs w:val="21"/>
              </w:rPr>
              <w:t>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jc w:val="center"/>
        </w:trPr>
        <w:tc>
          <w:tcPr>
            <w:tcW w:w="1795" w:type="pct"/>
            <w:tcBorders>
              <w:top w:val="single" w:color="auto" w:sz="4" w:space="0"/>
              <w:left w:val="single" w:color="auto" w:sz="4" w:space="0"/>
              <w:bottom w:val="single" w:color="auto" w:sz="4" w:space="0"/>
              <w:right w:val="single" w:color="auto" w:sz="4" w:space="0"/>
            </w:tcBorders>
            <w:noWrap w:val="0"/>
            <w:vAlign w:val="center"/>
          </w:tcPr>
          <w:p>
            <w:pPr>
              <w:jc w:val="center"/>
              <w:rPr>
                <w:szCs w:val="21"/>
              </w:rPr>
            </w:pPr>
            <w:r>
              <w:rPr>
                <w:szCs w:val="21"/>
              </w:rPr>
              <w:t>R≥3.5</w:t>
            </w:r>
          </w:p>
        </w:tc>
        <w:tc>
          <w:tcPr>
            <w:tcW w:w="2432" w:type="pct"/>
            <w:tcBorders>
              <w:top w:val="single" w:color="auto" w:sz="4" w:space="0"/>
              <w:left w:val="single" w:color="auto" w:sz="4" w:space="0"/>
              <w:bottom w:val="single" w:color="auto" w:sz="4" w:space="0"/>
              <w:right w:val="single" w:color="auto" w:sz="4" w:space="0"/>
            </w:tcBorders>
            <w:noWrap w:val="0"/>
            <w:vAlign w:val="top"/>
          </w:tcPr>
          <w:p>
            <w:pPr>
              <w:jc w:val="center"/>
              <w:rPr>
                <w:szCs w:val="21"/>
              </w:rPr>
            </w:pPr>
            <w:r>
              <w:rPr>
                <w:szCs w:val="21"/>
              </w:rPr>
              <w:t>1.5≤R＜2.0</w:t>
            </w:r>
          </w:p>
        </w:tc>
        <w:tc>
          <w:tcPr>
            <w:tcW w:w="773" w:type="pct"/>
            <w:tcBorders>
              <w:top w:val="single" w:color="auto" w:sz="4" w:space="0"/>
              <w:left w:val="single" w:color="auto" w:sz="4" w:space="0"/>
              <w:bottom w:val="single" w:color="auto" w:sz="4" w:space="0"/>
              <w:right w:val="single" w:color="auto" w:sz="4" w:space="0"/>
            </w:tcBorders>
            <w:noWrap w:val="0"/>
            <w:vAlign w:val="center"/>
          </w:tcPr>
          <w:p>
            <w:pPr>
              <w:jc w:val="center"/>
              <w:rPr>
                <w:szCs w:val="21"/>
              </w:rPr>
            </w:pPr>
            <w:r>
              <w:rPr>
                <w:szCs w:val="21"/>
              </w:rPr>
              <w:t>20</w:t>
            </w:r>
          </w:p>
        </w:tc>
      </w:tr>
    </w:tbl>
    <w:p>
      <w:pPr>
        <w:spacing w:line="360" w:lineRule="auto"/>
        <w:outlineLvl w:val="2"/>
        <w:rPr>
          <w:sz w:val="24"/>
          <w:szCs w:val="24"/>
        </w:rPr>
      </w:pPr>
      <w:r>
        <w:rPr>
          <w:rFonts w:hint="eastAsia"/>
          <w:b/>
          <w:sz w:val="24"/>
          <w:szCs w:val="24"/>
        </w:rPr>
        <w:t>7</w:t>
      </w:r>
      <w:r>
        <w:rPr>
          <w:b/>
          <w:sz w:val="24"/>
          <w:szCs w:val="24"/>
        </w:rPr>
        <w:t>.2.2</w:t>
      </w:r>
      <w:r>
        <w:rPr>
          <w:rFonts w:hint="eastAsia"/>
          <w:b/>
          <w:sz w:val="24"/>
          <w:szCs w:val="24"/>
        </w:rPr>
        <w:t xml:space="preserve">  </w:t>
      </w:r>
      <w:r>
        <w:rPr>
          <w:rFonts w:hint="eastAsia"/>
          <w:sz w:val="24"/>
          <w:szCs w:val="24"/>
        </w:rPr>
        <w:t>合理开发利用地下空间，评价总分值为12分，根据地下空间开发利用指标，按表7.2.2的规则评分。</w:t>
      </w:r>
    </w:p>
    <w:p>
      <w:pPr>
        <w:spacing w:line="300" w:lineRule="auto"/>
        <w:jc w:val="center"/>
        <w:rPr>
          <w:rFonts w:eastAsia="黑体"/>
          <w:b/>
          <w:bCs/>
          <w:sz w:val="22"/>
        </w:rPr>
      </w:pPr>
      <w:r>
        <w:rPr>
          <w:rFonts w:eastAsia="黑体"/>
          <w:b/>
          <w:bCs/>
          <w:sz w:val="22"/>
        </w:rPr>
        <w:t>表7.2.2 地下空间开发利用指标评分规则</w:t>
      </w:r>
    </w:p>
    <w:tbl>
      <w:tblPr>
        <w:tblStyle w:val="11"/>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74"/>
        <w:gridCol w:w="4938"/>
        <w:gridCol w:w="2657"/>
        <w:gridCol w:w="8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Pr>
        <w:tc>
          <w:tcPr>
            <w:tcW w:w="701" w:type="pct"/>
            <w:tcBorders>
              <w:top w:val="single" w:color="auto" w:sz="4" w:space="0"/>
              <w:left w:val="single" w:color="auto" w:sz="4" w:space="0"/>
              <w:bottom w:val="single" w:color="auto" w:sz="4" w:space="0"/>
              <w:right w:val="single" w:color="auto" w:sz="4" w:space="0"/>
            </w:tcBorders>
            <w:noWrap w:val="0"/>
            <w:vAlign w:val="center"/>
          </w:tcPr>
          <w:p>
            <w:pPr>
              <w:jc w:val="center"/>
              <w:rPr>
                <w:bCs/>
                <w:szCs w:val="21"/>
              </w:rPr>
            </w:pPr>
            <w:r>
              <w:rPr>
                <w:bCs/>
                <w:szCs w:val="21"/>
              </w:rPr>
              <w:t>建筑类型</w:t>
            </w:r>
          </w:p>
        </w:tc>
        <w:tc>
          <w:tcPr>
            <w:tcW w:w="3876" w:type="pct"/>
            <w:gridSpan w:val="2"/>
            <w:tcBorders>
              <w:top w:val="single" w:color="auto" w:sz="4" w:space="0"/>
              <w:left w:val="single" w:color="auto" w:sz="4" w:space="0"/>
              <w:bottom w:val="single" w:color="auto" w:sz="4" w:space="0"/>
              <w:right w:val="single" w:color="auto" w:sz="4" w:space="0"/>
            </w:tcBorders>
            <w:noWrap w:val="0"/>
            <w:vAlign w:val="center"/>
          </w:tcPr>
          <w:p>
            <w:pPr>
              <w:jc w:val="center"/>
              <w:rPr>
                <w:bCs/>
                <w:szCs w:val="21"/>
              </w:rPr>
            </w:pPr>
            <w:r>
              <w:rPr>
                <w:bCs/>
                <w:szCs w:val="21"/>
              </w:rPr>
              <w:t>地下空间开发利用指标</w:t>
            </w:r>
          </w:p>
        </w:tc>
        <w:tc>
          <w:tcPr>
            <w:tcW w:w="423" w:type="pct"/>
            <w:tcBorders>
              <w:top w:val="single" w:color="auto" w:sz="4" w:space="0"/>
              <w:left w:val="single" w:color="auto" w:sz="4" w:space="0"/>
              <w:bottom w:val="single" w:color="auto" w:sz="4" w:space="0"/>
              <w:right w:val="single" w:color="auto" w:sz="4" w:space="0"/>
            </w:tcBorders>
            <w:noWrap w:val="0"/>
            <w:vAlign w:val="center"/>
          </w:tcPr>
          <w:p>
            <w:pPr>
              <w:jc w:val="center"/>
              <w:rPr>
                <w:bCs/>
                <w:szCs w:val="21"/>
              </w:rPr>
            </w:pPr>
            <w:r>
              <w:rPr>
                <w:bCs/>
                <w:szCs w:val="21"/>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Pr>
        <w:tc>
          <w:tcPr>
            <w:tcW w:w="701" w:type="pct"/>
            <w:vMerge w:val="restart"/>
            <w:tcBorders>
              <w:top w:val="single" w:color="auto" w:sz="4" w:space="0"/>
              <w:left w:val="single" w:color="auto" w:sz="4" w:space="0"/>
              <w:bottom w:val="single" w:color="auto" w:sz="4" w:space="0"/>
              <w:right w:val="single" w:color="auto" w:sz="4" w:space="0"/>
            </w:tcBorders>
            <w:noWrap w:val="0"/>
            <w:vAlign w:val="center"/>
          </w:tcPr>
          <w:p>
            <w:pPr>
              <w:jc w:val="center"/>
              <w:rPr>
                <w:bCs/>
                <w:szCs w:val="21"/>
              </w:rPr>
            </w:pPr>
            <w:r>
              <w:rPr>
                <w:bCs/>
                <w:szCs w:val="21"/>
              </w:rPr>
              <w:t>住宅建筑</w:t>
            </w:r>
          </w:p>
        </w:tc>
        <w:tc>
          <w:tcPr>
            <w:tcW w:w="2520" w:type="pct"/>
            <w:vMerge w:val="restart"/>
            <w:tcBorders>
              <w:top w:val="single" w:color="auto" w:sz="4" w:space="0"/>
              <w:left w:val="single" w:color="auto" w:sz="4" w:space="0"/>
              <w:right w:val="single" w:color="auto" w:sz="4" w:space="0"/>
            </w:tcBorders>
            <w:noWrap w:val="0"/>
            <w:vAlign w:val="center"/>
          </w:tcPr>
          <w:p>
            <w:pPr>
              <w:jc w:val="center"/>
              <w:rPr>
                <w:bCs/>
                <w:szCs w:val="21"/>
              </w:rPr>
            </w:pPr>
            <w:r>
              <w:rPr>
                <w:bCs/>
                <w:szCs w:val="21"/>
              </w:rPr>
              <w:t>地下建筑面积与地上建筑面积的比率</w:t>
            </w:r>
            <w:r>
              <w:rPr>
                <w:rFonts w:hint="eastAsia"/>
                <w:szCs w:val="21"/>
              </w:rPr>
              <w:t>R</w:t>
            </w:r>
            <w:r>
              <w:rPr>
                <w:rFonts w:hint="eastAsia"/>
                <w:szCs w:val="21"/>
                <w:vertAlign w:val="subscript"/>
              </w:rPr>
              <w:t>r</w:t>
            </w:r>
          </w:p>
          <w:p>
            <w:pPr>
              <w:jc w:val="center"/>
              <w:rPr>
                <w:bCs/>
                <w:szCs w:val="21"/>
              </w:rPr>
            </w:pPr>
            <w:r>
              <w:rPr>
                <w:bCs/>
                <w:szCs w:val="21"/>
              </w:rPr>
              <w:t>地下一层建筑面积与总用地面积的比率</w:t>
            </w:r>
            <w:r>
              <w:rPr>
                <w:rFonts w:hint="eastAsia"/>
                <w:szCs w:val="21"/>
              </w:rPr>
              <w:t>R</w:t>
            </w:r>
            <w:r>
              <w:rPr>
                <w:rFonts w:hint="eastAsia"/>
                <w:szCs w:val="21"/>
                <w:vertAlign w:val="subscript"/>
              </w:rPr>
              <w:t>p</w:t>
            </w:r>
          </w:p>
        </w:tc>
        <w:tc>
          <w:tcPr>
            <w:tcW w:w="1356" w:type="pct"/>
            <w:tcBorders>
              <w:top w:val="single" w:color="auto" w:sz="4" w:space="0"/>
              <w:left w:val="single" w:color="auto" w:sz="4" w:space="0"/>
              <w:bottom w:val="single" w:color="auto" w:sz="4" w:space="0"/>
              <w:right w:val="single" w:color="auto" w:sz="4" w:space="0"/>
            </w:tcBorders>
            <w:noWrap w:val="0"/>
            <w:vAlign w:val="center"/>
          </w:tcPr>
          <w:p>
            <w:pPr>
              <w:jc w:val="center"/>
              <w:rPr>
                <w:szCs w:val="21"/>
              </w:rPr>
            </w:pPr>
            <w:r>
              <w:rPr>
                <w:szCs w:val="21"/>
              </w:rPr>
              <w:t>5%≤</w:t>
            </w:r>
            <w:r>
              <w:rPr>
                <w:rFonts w:hint="eastAsia"/>
                <w:szCs w:val="21"/>
              </w:rPr>
              <w:t>R</w:t>
            </w:r>
            <w:r>
              <w:rPr>
                <w:rFonts w:hint="eastAsia"/>
                <w:szCs w:val="21"/>
                <w:vertAlign w:val="subscript"/>
              </w:rPr>
              <w:t>r</w:t>
            </w:r>
            <w:r>
              <w:rPr>
                <w:szCs w:val="21"/>
              </w:rPr>
              <w:t>＜20%</w:t>
            </w:r>
          </w:p>
        </w:tc>
        <w:tc>
          <w:tcPr>
            <w:tcW w:w="423" w:type="pct"/>
            <w:tcBorders>
              <w:top w:val="single" w:color="auto" w:sz="4" w:space="0"/>
              <w:left w:val="single" w:color="auto" w:sz="4" w:space="0"/>
              <w:bottom w:val="single" w:color="auto" w:sz="4" w:space="0"/>
              <w:right w:val="single" w:color="auto" w:sz="4" w:space="0"/>
            </w:tcBorders>
            <w:noWrap w:val="0"/>
            <w:vAlign w:val="center"/>
          </w:tcPr>
          <w:p>
            <w:pPr>
              <w:jc w:val="center"/>
              <w:rPr>
                <w:szCs w:val="21"/>
              </w:rPr>
            </w:pPr>
            <w:r>
              <w:rPr>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Pr>
        <w:tc>
          <w:tcPr>
            <w:tcW w:w="701" w:type="pct"/>
            <w:vMerge w:val="continue"/>
            <w:tcBorders>
              <w:top w:val="single" w:color="auto" w:sz="4" w:space="0"/>
              <w:left w:val="single" w:color="auto" w:sz="4" w:space="0"/>
              <w:bottom w:val="single" w:color="auto" w:sz="4" w:space="0"/>
              <w:right w:val="single" w:color="auto" w:sz="4" w:space="0"/>
            </w:tcBorders>
            <w:noWrap w:val="0"/>
            <w:vAlign w:val="center"/>
          </w:tcPr>
          <w:p>
            <w:pPr>
              <w:jc w:val="center"/>
              <w:rPr>
                <w:bCs/>
                <w:szCs w:val="21"/>
              </w:rPr>
            </w:pPr>
          </w:p>
        </w:tc>
        <w:tc>
          <w:tcPr>
            <w:tcW w:w="2520" w:type="pct"/>
            <w:vMerge w:val="continue"/>
            <w:tcBorders>
              <w:left w:val="single" w:color="auto" w:sz="4" w:space="0"/>
              <w:right w:val="single" w:color="auto" w:sz="4" w:space="0"/>
            </w:tcBorders>
            <w:noWrap w:val="0"/>
            <w:vAlign w:val="center"/>
          </w:tcPr>
          <w:p>
            <w:pPr>
              <w:jc w:val="center"/>
              <w:rPr>
                <w:bCs/>
                <w:szCs w:val="21"/>
              </w:rPr>
            </w:pPr>
          </w:p>
        </w:tc>
        <w:tc>
          <w:tcPr>
            <w:tcW w:w="1356" w:type="pct"/>
            <w:tcBorders>
              <w:top w:val="single" w:color="auto" w:sz="4" w:space="0"/>
              <w:left w:val="single" w:color="auto" w:sz="4" w:space="0"/>
              <w:bottom w:val="single" w:color="auto" w:sz="4" w:space="0"/>
              <w:right w:val="single" w:color="auto" w:sz="4" w:space="0"/>
            </w:tcBorders>
            <w:noWrap w:val="0"/>
            <w:vAlign w:val="center"/>
          </w:tcPr>
          <w:p>
            <w:pPr>
              <w:jc w:val="center"/>
              <w:rPr>
                <w:szCs w:val="21"/>
              </w:rPr>
            </w:pPr>
            <w:r>
              <w:rPr>
                <w:rFonts w:hint="eastAsia"/>
                <w:szCs w:val="21"/>
              </w:rPr>
              <w:t>R</w:t>
            </w:r>
            <w:r>
              <w:rPr>
                <w:rFonts w:hint="eastAsia"/>
                <w:szCs w:val="21"/>
                <w:vertAlign w:val="subscript"/>
              </w:rPr>
              <w:t>r</w:t>
            </w:r>
            <w:r>
              <w:rPr>
                <w:szCs w:val="21"/>
              </w:rPr>
              <w:t>≥20%</w:t>
            </w:r>
          </w:p>
        </w:tc>
        <w:tc>
          <w:tcPr>
            <w:tcW w:w="423" w:type="pct"/>
            <w:tcBorders>
              <w:top w:val="single" w:color="auto" w:sz="4" w:space="0"/>
              <w:left w:val="single" w:color="auto" w:sz="4" w:space="0"/>
              <w:bottom w:val="single" w:color="auto" w:sz="4" w:space="0"/>
              <w:right w:val="single" w:color="auto" w:sz="4" w:space="0"/>
            </w:tcBorders>
            <w:noWrap w:val="0"/>
            <w:vAlign w:val="center"/>
          </w:tcPr>
          <w:p>
            <w:pPr>
              <w:jc w:val="center"/>
              <w:rPr>
                <w:szCs w:val="21"/>
              </w:rPr>
            </w:pPr>
            <w:r>
              <w:rPr>
                <w:szCs w:val="21"/>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Pr>
        <w:tc>
          <w:tcPr>
            <w:tcW w:w="701" w:type="pct"/>
            <w:vMerge w:val="continue"/>
            <w:tcBorders>
              <w:top w:val="single" w:color="auto" w:sz="4" w:space="0"/>
              <w:left w:val="single" w:color="auto" w:sz="4" w:space="0"/>
              <w:bottom w:val="single" w:color="auto" w:sz="4" w:space="0"/>
              <w:right w:val="single" w:color="auto" w:sz="4" w:space="0"/>
            </w:tcBorders>
            <w:noWrap w:val="0"/>
            <w:vAlign w:val="center"/>
          </w:tcPr>
          <w:p>
            <w:pPr>
              <w:jc w:val="center"/>
              <w:rPr>
                <w:bCs/>
                <w:szCs w:val="21"/>
              </w:rPr>
            </w:pPr>
          </w:p>
        </w:tc>
        <w:tc>
          <w:tcPr>
            <w:tcW w:w="2520" w:type="pct"/>
            <w:vMerge w:val="continue"/>
            <w:tcBorders>
              <w:left w:val="single" w:color="auto" w:sz="4" w:space="0"/>
              <w:bottom w:val="single" w:color="auto" w:sz="4" w:space="0"/>
              <w:right w:val="single" w:color="auto" w:sz="4" w:space="0"/>
            </w:tcBorders>
            <w:noWrap w:val="0"/>
            <w:vAlign w:val="center"/>
          </w:tcPr>
          <w:p>
            <w:pPr>
              <w:jc w:val="center"/>
              <w:rPr>
                <w:bCs/>
                <w:szCs w:val="21"/>
              </w:rPr>
            </w:pPr>
          </w:p>
        </w:tc>
        <w:tc>
          <w:tcPr>
            <w:tcW w:w="1356" w:type="pct"/>
            <w:tcBorders>
              <w:top w:val="single" w:color="auto" w:sz="4" w:space="0"/>
              <w:left w:val="single" w:color="auto" w:sz="4" w:space="0"/>
              <w:bottom w:val="single" w:color="auto" w:sz="4" w:space="0"/>
              <w:right w:val="single" w:color="auto" w:sz="4" w:space="0"/>
            </w:tcBorders>
            <w:noWrap w:val="0"/>
            <w:vAlign w:val="center"/>
          </w:tcPr>
          <w:p>
            <w:pPr>
              <w:jc w:val="center"/>
              <w:rPr>
                <w:szCs w:val="21"/>
              </w:rPr>
            </w:pPr>
            <w:r>
              <w:rPr>
                <w:rFonts w:hint="eastAsia"/>
                <w:szCs w:val="21"/>
              </w:rPr>
              <w:t>R</w:t>
            </w:r>
            <w:r>
              <w:rPr>
                <w:rFonts w:hint="eastAsia"/>
                <w:szCs w:val="21"/>
                <w:vertAlign w:val="subscript"/>
              </w:rPr>
              <w:t>r</w:t>
            </w:r>
            <w:r>
              <w:rPr>
                <w:szCs w:val="21"/>
              </w:rPr>
              <w:t>≥35%且</w:t>
            </w:r>
            <w:r>
              <w:rPr>
                <w:rFonts w:hint="eastAsia"/>
                <w:szCs w:val="21"/>
              </w:rPr>
              <w:t>R</w:t>
            </w:r>
            <w:r>
              <w:rPr>
                <w:rFonts w:hint="eastAsia"/>
                <w:szCs w:val="21"/>
                <w:vertAlign w:val="subscript"/>
              </w:rPr>
              <w:t>p</w:t>
            </w:r>
            <w:r>
              <w:rPr>
                <w:szCs w:val="21"/>
              </w:rPr>
              <w:t>＜60%</w:t>
            </w:r>
          </w:p>
        </w:tc>
        <w:tc>
          <w:tcPr>
            <w:tcW w:w="423" w:type="pct"/>
            <w:tcBorders>
              <w:top w:val="single" w:color="auto" w:sz="4" w:space="0"/>
              <w:left w:val="single" w:color="auto" w:sz="4" w:space="0"/>
              <w:bottom w:val="single" w:color="auto" w:sz="4" w:space="0"/>
              <w:right w:val="single" w:color="auto" w:sz="4" w:space="0"/>
            </w:tcBorders>
            <w:noWrap w:val="0"/>
            <w:vAlign w:val="center"/>
          </w:tcPr>
          <w:p>
            <w:pPr>
              <w:jc w:val="center"/>
              <w:rPr>
                <w:szCs w:val="21"/>
              </w:rPr>
            </w:pPr>
            <w:r>
              <w:rPr>
                <w:szCs w:val="21"/>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Pr>
        <w:tc>
          <w:tcPr>
            <w:tcW w:w="701" w:type="pct"/>
            <w:vMerge w:val="restart"/>
            <w:tcBorders>
              <w:top w:val="single" w:color="auto" w:sz="4" w:space="0"/>
              <w:left w:val="single" w:color="auto" w:sz="4" w:space="0"/>
              <w:right w:val="single" w:color="auto" w:sz="4" w:space="0"/>
            </w:tcBorders>
            <w:noWrap w:val="0"/>
            <w:vAlign w:val="center"/>
          </w:tcPr>
          <w:p>
            <w:pPr>
              <w:jc w:val="center"/>
              <w:rPr>
                <w:bCs/>
                <w:szCs w:val="21"/>
              </w:rPr>
            </w:pPr>
            <w:r>
              <w:rPr>
                <w:bCs/>
                <w:szCs w:val="21"/>
              </w:rPr>
              <w:t>公共建筑</w:t>
            </w:r>
          </w:p>
        </w:tc>
        <w:tc>
          <w:tcPr>
            <w:tcW w:w="2520" w:type="pct"/>
            <w:vMerge w:val="restart"/>
            <w:tcBorders>
              <w:top w:val="single" w:color="auto" w:sz="4" w:space="0"/>
              <w:left w:val="single" w:color="auto" w:sz="4" w:space="0"/>
              <w:right w:val="single" w:color="auto" w:sz="4" w:space="0"/>
            </w:tcBorders>
            <w:noWrap w:val="0"/>
            <w:vAlign w:val="center"/>
          </w:tcPr>
          <w:p>
            <w:pPr>
              <w:jc w:val="center"/>
              <w:rPr>
                <w:bCs/>
                <w:szCs w:val="21"/>
              </w:rPr>
            </w:pPr>
            <w:r>
              <w:rPr>
                <w:bCs/>
                <w:szCs w:val="21"/>
              </w:rPr>
              <w:t>地下建筑面积与总用地面积之比</w:t>
            </w:r>
            <w:r>
              <w:rPr>
                <w:rFonts w:hint="eastAsia"/>
                <w:szCs w:val="21"/>
              </w:rPr>
              <w:t>R</w:t>
            </w:r>
            <w:r>
              <w:rPr>
                <w:rFonts w:hint="eastAsia"/>
                <w:szCs w:val="21"/>
                <w:vertAlign w:val="subscript"/>
              </w:rPr>
              <w:t>p1</w:t>
            </w:r>
          </w:p>
          <w:p>
            <w:pPr>
              <w:jc w:val="center"/>
              <w:rPr>
                <w:bCs/>
                <w:szCs w:val="21"/>
              </w:rPr>
            </w:pPr>
            <w:r>
              <w:rPr>
                <w:bCs/>
                <w:szCs w:val="21"/>
              </w:rPr>
              <w:t>地下一层建筑面积与总用地面积的比率</w:t>
            </w:r>
            <w:r>
              <w:rPr>
                <w:rFonts w:hint="eastAsia"/>
                <w:szCs w:val="21"/>
              </w:rPr>
              <w:t>R</w:t>
            </w:r>
            <w:r>
              <w:rPr>
                <w:rFonts w:hint="eastAsia"/>
                <w:szCs w:val="21"/>
                <w:vertAlign w:val="subscript"/>
              </w:rPr>
              <w:t>p</w:t>
            </w:r>
          </w:p>
        </w:tc>
        <w:tc>
          <w:tcPr>
            <w:tcW w:w="1356" w:type="pct"/>
            <w:tcBorders>
              <w:top w:val="single" w:color="auto" w:sz="4" w:space="0"/>
              <w:left w:val="single" w:color="auto" w:sz="4" w:space="0"/>
              <w:bottom w:val="single" w:color="auto" w:sz="4" w:space="0"/>
              <w:right w:val="single" w:color="auto" w:sz="4" w:space="0"/>
            </w:tcBorders>
            <w:noWrap w:val="0"/>
            <w:vAlign w:val="center"/>
          </w:tcPr>
          <w:p>
            <w:pPr>
              <w:jc w:val="center"/>
              <w:rPr>
                <w:szCs w:val="21"/>
              </w:rPr>
            </w:pPr>
            <w:r>
              <w:rPr>
                <w:rFonts w:hint="eastAsia"/>
                <w:szCs w:val="21"/>
              </w:rPr>
              <w:t>R</w:t>
            </w:r>
            <w:r>
              <w:rPr>
                <w:rFonts w:hint="eastAsia"/>
                <w:szCs w:val="21"/>
                <w:vertAlign w:val="subscript"/>
              </w:rPr>
              <w:t>p1</w:t>
            </w:r>
            <w:r>
              <w:rPr>
                <w:szCs w:val="21"/>
              </w:rPr>
              <w:t>≥0.5</w:t>
            </w:r>
          </w:p>
        </w:tc>
        <w:tc>
          <w:tcPr>
            <w:tcW w:w="423" w:type="pct"/>
            <w:tcBorders>
              <w:top w:val="single" w:color="auto" w:sz="4" w:space="0"/>
              <w:left w:val="single" w:color="auto" w:sz="4" w:space="0"/>
              <w:bottom w:val="single" w:color="auto" w:sz="4" w:space="0"/>
              <w:right w:val="single" w:color="auto" w:sz="4" w:space="0"/>
            </w:tcBorders>
            <w:noWrap w:val="0"/>
            <w:vAlign w:val="center"/>
          </w:tcPr>
          <w:p>
            <w:pPr>
              <w:jc w:val="center"/>
              <w:rPr>
                <w:szCs w:val="21"/>
              </w:rPr>
            </w:pPr>
            <w:r>
              <w:rPr>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Pr>
        <w:tc>
          <w:tcPr>
            <w:tcW w:w="701" w:type="pct"/>
            <w:vMerge w:val="continue"/>
            <w:tcBorders>
              <w:left w:val="single" w:color="auto" w:sz="4" w:space="0"/>
              <w:right w:val="single" w:color="auto" w:sz="4" w:space="0"/>
            </w:tcBorders>
            <w:noWrap w:val="0"/>
            <w:vAlign w:val="center"/>
          </w:tcPr>
          <w:p>
            <w:pPr>
              <w:jc w:val="center"/>
              <w:rPr>
                <w:bCs/>
                <w:szCs w:val="21"/>
              </w:rPr>
            </w:pPr>
          </w:p>
        </w:tc>
        <w:tc>
          <w:tcPr>
            <w:tcW w:w="2520" w:type="pct"/>
            <w:vMerge w:val="continue"/>
            <w:tcBorders>
              <w:left w:val="single" w:color="auto" w:sz="4" w:space="0"/>
              <w:right w:val="single" w:color="auto" w:sz="4" w:space="0"/>
            </w:tcBorders>
            <w:noWrap w:val="0"/>
            <w:vAlign w:val="center"/>
          </w:tcPr>
          <w:p>
            <w:pPr>
              <w:jc w:val="center"/>
              <w:rPr>
                <w:bCs/>
                <w:szCs w:val="21"/>
              </w:rPr>
            </w:pPr>
          </w:p>
        </w:tc>
        <w:tc>
          <w:tcPr>
            <w:tcW w:w="1356" w:type="pct"/>
            <w:tcBorders>
              <w:top w:val="single" w:color="auto" w:sz="4" w:space="0"/>
              <w:left w:val="single" w:color="auto" w:sz="4" w:space="0"/>
              <w:bottom w:val="single" w:color="auto" w:sz="4" w:space="0"/>
              <w:right w:val="single" w:color="auto" w:sz="4" w:space="0"/>
            </w:tcBorders>
            <w:noWrap w:val="0"/>
            <w:vAlign w:val="center"/>
          </w:tcPr>
          <w:p>
            <w:pPr>
              <w:jc w:val="center"/>
              <w:rPr>
                <w:szCs w:val="21"/>
              </w:rPr>
            </w:pPr>
            <w:r>
              <w:rPr>
                <w:rFonts w:hint="eastAsia"/>
                <w:szCs w:val="21"/>
              </w:rPr>
              <w:t>R</w:t>
            </w:r>
            <w:r>
              <w:rPr>
                <w:rFonts w:hint="eastAsia"/>
                <w:szCs w:val="21"/>
                <w:vertAlign w:val="subscript"/>
              </w:rPr>
              <w:t>p1</w:t>
            </w:r>
            <w:r>
              <w:rPr>
                <w:szCs w:val="21"/>
              </w:rPr>
              <w:t>≥0.7且</w:t>
            </w:r>
            <w:r>
              <w:rPr>
                <w:rFonts w:hint="eastAsia"/>
                <w:szCs w:val="21"/>
              </w:rPr>
              <w:t>R</w:t>
            </w:r>
            <w:r>
              <w:rPr>
                <w:rFonts w:hint="eastAsia"/>
                <w:szCs w:val="21"/>
                <w:vertAlign w:val="subscript"/>
              </w:rPr>
              <w:t>p</w:t>
            </w:r>
            <w:r>
              <w:rPr>
                <w:szCs w:val="21"/>
              </w:rPr>
              <w:t>＜70%</w:t>
            </w:r>
          </w:p>
        </w:tc>
        <w:tc>
          <w:tcPr>
            <w:tcW w:w="423" w:type="pct"/>
            <w:tcBorders>
              <w:top w:val="single" w:color="auto" w:sz="4" w:space="0"/>
              <w:left w:val="single" w:color="auto" w:sz="4" w:space="0"/>
              <w:bottom w:val="single" w:color="auto" w:sz="4" w:space="0"/>
              <w:right w:val="single" w:color="auto" w:sz="4" w:space="0"/>
            </w:tcBorders>
            <w:noWrap w:val="0"/>
            <w:vAlign w:val="center"/>
          </w:tcPr>
          <w:p>
            <w:pPr>
              <w:jc w:val="center"/>
              <w:rPr>
                <w:szCs w:val="21"/>
              </w:rPr>
            </w:pPr>
            <w:r>
              <w:rPr>
                <w:szCs w:val="21"/>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Pr>
        <w:tc>
          <w:tcPr>
            <w:tcW w:w="701" w:type="pct"/>
            <w:vMerge w:val="continue"/>
            <w:tcBorders>
              <w:left w:val="single" w:color="auto" w:sz="4" w:space="0"/>
              <w:bottom w:val="single" w:color="auto" w:sz="4" w:space="0"/>
              <w:right w:val="single" w:color="auto" w:sz="4" w:space="0"/>
            </w:tcBorders>
            <w:noWrap w:val="0"/>
            <w:vAlign w:val="center"/>
          </w:tcPr>
          <w:p>
            <w:pPr>
              <w:jc w:val="center"/>
              <w:rPr>
                <w:bCs/>
                <w:szCs w:val="21"/>
              </w:rPr>
            </w:pPr>
          </w:p>
        </w:tc>
        <w:tc>
          <w:tcPr>
            <w:tcW w:w="2520" w:type="pct"/>
            <w:vMerge w:val="continue"/>
            <w:tcBorders>
              <w:left w:val="single" w:color="auto" w:sz="4" w:space="0"/>
              <w:bottom w:val="single" w:color="auto" w:sz="4" w:space="0"/>
              <w:right w:val="single" w:color="auto" w:sz="4" w:space="0"/>
            </w:tcBorders>
            <w:noWrap w:val="0"/>
            <w:vAlign w:val="center"/>
          </w:tcPr>
          <w:p>
            <w:pPr>
              <w:jc w:val="center"/>
              <w:rPr>
                <w:bCs/>
                <w:szCs w:val="21"/>
              </w:rPr>
            </w:pPr>
          </w:p>
        </w:tc>
        <w:tc>
          <w:tcPr>
            <w:tcW w:w="1356" w:type="pct"/>
            <w:tcBorders>
              <w:top w:val="single" w:color="auto" w:sz="4" w:space="0"/>
              <w:left w:val="single" w:color="auto" w:sz="4" w:space="0"/>
              <w:bottom w:val="single" w:color="auto" w:sz="4" w:space="0"/>
              <w:right w:val="single" w:color="auto" w:sz="4" w:space="0"/>
            </w:tcBorders>
            <w:noWrap w:val="0"/>
            <w:vAlign w:val="center"/>
          </w:tcPr>
          <w:p>
            <w:pPr>
              <w:jc w:val="center"/>
              <w:rPr>
                <w:szCs w:val="21"/>
              </w:rPr>
            </w:pPr>
            <w:r>
              <w:rPr>
                <w:rFonts w:hint="eastAsia"/>
                <w:szCs w:val="21"/>
              </w:rPr>
              <w:t>R</w:t>
            </w:r>
            <w:r>
              <w:rPr>
                <w:rFonts w:hint="eastAsia"/>
                <w:szCs w:val="21"/>
                <w:vertAlign w:val="subscript"/>
              </w:rPr>
              <w:t>p1</w:t>
            </w:r>
            <w:r>
              <w:rPr>
                <w:szCs w:val="21"/>
              </w:rPr>
              <w:t>≥1.0且</w:t>
            </w:r>
            <w:r>
              <w:rPr>
                <w:rFonts w:hint="eastAsia"/>
                <w:szCs w:val="21"/>
              </w:rPr>
              <w:t>R</w:t>
            </w:r>
            <w:r>
              <w:rPr>
                <w:rFonts w:hint="eastAsia"/>
                <w:szCs w:val="21"/>
                <w:vertAlign w:val="subscript"/>
              </w:rPr>
              <w:t>p</w:t>
            </w:r>
            <w:r>
              <w:rPr>
                <w:szCs w:val="21"/>
              </w:rPr>
              <w:t>＜60%</w:t>
            </w:r>
          </w:p>
        </w:tc>
        <w:tc>
          <w:tcPr>
            <w:tcW w:w="423" w:type="pct"/>
            <w:tcBorders>
              <w:top w:val="single" w:color="auto" w:sz="4" w:space="0"/>
              <w:left w:val="single" w:color="auto" w:sz="4" w:space="0"/>
              <w:bottom w:val="single" w:color="auto" w:sz="4" w:space="0"/>
              <w:right w:val="single" w:color="auto" w:sz="4" w:space="0"/>
            </w:tcBorders>
            <w:noWrap w:val="0"/>
            <w:vAlign w:val="center"/>
          </w:tcPr>
          <w:p>
            <w:pPr>
              <w:jc w:val="center"/>
              <w:rPr>
                <w:szCs w:val="21"/>
              </w:rPr>
            </w:pPr>
            <w:r>
              <w:rPr>
                <w:szCs w:val="21"/>
              </w:rPr>
              <w:t>12</w:t>
            </w:r>
          </w:p>
        </w:tc>
      </w:tr>
    </w:tbl>
    <w:p>
      <w:pPr>
        <w:spacing w:line="360" w:lineRule="auto"/>
        <w:outlineLvl w:val="2"/>
        <w:rPr>
          <w:rFonts w:hint="eastAsia"/>
          <w:sz w:val="24"/>
          <w:szCs w:val="24"/>
        </w:rPr>
      </w:pPr>
      <w:r>
        <w:rPr>
          <w:rFonts w:hint="eastAsia"/>
          <w:b/>
          <w:sz w:val="24"/>
          <w:szCs w:val="24"/>
        </w:rPr>
        <w:t>7</w:t>
      </w:r>
      <w:r>
        <w:rPr>
          <w:b/>
          <w:sz w:val="24"/>
          <w:szCs w:val="24"/>
        </w:rPr>
        <w:t>.2.3</w:t>
      </w:r>
      <w:r>
        <w:rPr>
          <w:rFonts w:hint="eastAsia"/>
          <w:b/>
          <w:sz w:val="24"/>
          <w:szCs w:val="24"/>
        </w:rPr>
        <w:t xml:space="preserve">  </w:t>
      </w:r>
      <w:r>
        <w:rPr>
          <w:rFonts w:hint="eastAsia"/>
          <w:sz w:val="24"/>
          <w:szCs w:val="24"/>
        </w:rPr>
        <w:t>采用机械式停车设施、地下停车库或地面停车楼等方式，评价总分值为8分，并按下列规则评分：</w:t>
      </w:r>
    </w:p>
    <w:p>
      <w:pPr>
        <w:spacing w:line="360" w:lineRule="auto"/>
        <w:ind w:firstLine="482" w:firstLineChars="200"/>
        <w:rPr>
          <w:b/>
          <w:sz w:val="24"/>
          <w:szCs w:val="24"/>
        </w:rPr>
      </w:pPr>
      <w:r>
        <w:rPr>
          <w:rFonts w:hint="eastAsia"/>
          <w:b/>
          <w:sz w:val="24"/>
          <w:szCs w:val="24"/>
        </w:rPr>
        <w:t xml:space="preserve">1 </w:t>
      </w:r>
      <w:r>
        <w:rPr>
          <w:rFonts w:hint="eastAsia"/>
          <w:sz w:val="24"/>
          <w:szCs w:val="24"/>
        </w:rPr>
        <w:t>住宅建筑地面停车位数量与住宅总套数的比率小于10%，得8分。</w:t>
      </w:r>
    </w:p>
    <w:p>
      <w:pPr>
        <w:spacing w:line="360" w:lineRule="auto"/>
        <w:ind w:firstLine="482" w:firstLineChars="200"/>
        <w:rPr>
          <w:rFonts w:hint="eastAsia"/>
          <w:sz w:val="24"/>
          <w:szCs w:val="24"/>
        </w:rPr>
      </w:pPr>
      <w:r>
        <w:rPr>
          <w:rFonts w:hint="eastAsia"/>
          <w:b/>
          <w:sz w:val="24"/>
          <w:szCs w:val="24"/>
        </w:rPr>
        <w:t xml:space="preserve">2 </w:t>
      </w:r>
      <w:r>
        <w:rPr>
          <w:rFonts w:hint="eastAsia"/>
          <w:sz w:val="24"/>
          <w:szCs w:val="24"/>
        </w:rPr>
        <w:t>公共建筑地面停车占地面积与其总建设用地面积的比率小于8%，得8分。</w:t>
      </w:r>
    </w:p>
    <w:p>
      <w:pPr>
        <w:rPr>
          <w:rFonts w:hint="eastAsia"/>
        </w:rPr>
      </w:pPr>
    </w:p>
    <w:p>
      <w:pPr>
        <w:spacing w:line="360" w:lineRule="auto"/>
        <w:ind w:left="435" w:leftChars="150" w:hanging="120" w:hangingChars="50"/>
        <w:jc w:val="center"/>
        <w:rPr>
          <w:rFonts w:eastAsia="仿宋"/>
          <w:b/>
          <w:sz w:val="24"/>
          <w:szCs w:val="24"/>
        </w:rPr>
      </w:pPr>
      <w:r>
        <w:rPr>
          <w:rFonts w:hint="eastAsia" w:eastAsia="仿宋"/>
          <w:b/>
          <w:sz w:val="24"/>
          <w:szCs w:val="24"/>
        </w:rPr>
        <w:t>II 节能与能源利用</w:t>
      </w:r>
    </w:p>
    <w:p>
      <w:pPr>
        <w:spacing w:line="360" w:lineRule="auto"/>
        <w:outlineLvl w:val="2"/>
        <w:rPr>
          <w:b/>
          <w:sz w:val="24"/>
          <w:szCs w:val="24"/>
        </w:rPr>
      </w:pPr>
      <w:r>
        <w:rPr>
          <w:rFonts w:hint="eastAsia"/>
          <w:b/>
          <w:sz w:val="24"/>
          <w:szCs w:val="24"/>
        </w:rPr>
        <w:t>7</w:t>
      </w:r>
      <w:r>
        <w:rPr>
          <w:b/>
          <w:sz w:val="24"/>
          <w:szCs w:val="24"/>
        </w:rPr>
        <w:t>.2.4</w:t>
      </w:r>
      <w:r>
        <w:rPr>
          <w:rFonts w:hint="eastAsia"/>
          <w:b/>
          <w:sz w:val="24"/>
          <w:szCs w:val="24"/>
        </w:rPr>
        <w:t xml:space="preserve">  </w:t>
      </w:r>
      <w:r>
        <w:rPr>
          <w:rFonts w:hint="eastAsia"/>
          <w:sz w:val="24"/>
          <w:szCs w:val="24"/>
        </w:rPr>
        <w:t>优化建筑围护结构的热工性能，评价总分值为15分，并按下列规则评分：</w:t>
      </w:r>
    </w:p>
    <w:p>
      <w:pPr>
        <w:spacing w:line="360" w:lineRule="auto"/>
        <w:ind w:firstLine="482" w:firstLineChars="200"/>
        <w:rPr>
          <w:b/>
          <w:sz w:val="24"/>
          <w:szCs w:val="24"/>
        </w:rPr>
      </w:pPr>
      <w:r>
        <w:rPr>
          <w:rFonts w:hint="eastAsia"/>
          <w:b/>
          <w:sz w:val="24"/>
          <w:szCs w:val="24"/>
        </w:rPr>
        <w:t xml:space="preserve">1 </w:t>
      </w:r>
      <w:r>
        <w:rPr>
          <w:rFonts w:hint="eastAsia"/>
          <w:sz w:val="24"/>
          <w:szCs w:val="24"/>
        </w:rPr>
        <w:t>围护结构热工性能比国家现行相关建筑节能设计标准规定的提高幅度达到5%，得5分；达到10%，得10分；达到15%，得15分。</w:t>
      </w:r>
    </w:p>
    <w:p>
      <w:pPr>
        <w:spacing w:line="360" w:lineRule="auto"/>
        <w:ind w:firstLine="482" w:firstLineChars="200"/>
        <w:rPr>
          <w:b/>
          <w:sz w:val="24"/>
          <w:szCs w:val="24"/>
        </w:rPr>
      </w:pPr>
      <w:r>
        <w:rPr>
          <w:rFonts w:hint="eastAsia"/>
          <w:b/>
          <w:sz w:val="24"/>
          <w:szCs w:val="24"/>
        </w:rPr>
        <w:t xml:space="preserve">2 </w:t>
      </w:r>
      <w:r>
        <w:rPr>
          <w:rFonts w:hint="eastAsia"/>
          <w:sz w:val="24"/>
          <w:szCs w:val="24"/>
        </w:rPr>
        <w:t>建筑供暖空调负荷降低5%，得5分；降低10%，得10分；降低15%，得15分。</w:t>
      </w:r>
    </w:p>
    <w:p>
      <w:pPr>
        <w:spacing w:line="360" w:lineRule="auto"/>
        <w:outlineLvl w:val="2"/>
        <w:rPr>
          <w:b/>
          <w:sz w:val="24"/>
          <w:szCs w:val="24"/>
        </w:rPr>
      </w:pPr>
      <w:r>
        <w:rPr>
          <w:rFonts w:hint="eastAsia"/>
          <w:b/>
          <w:sz w:val="24"/>
          <w:szCs w:val="24"/>
        </w:rPr>
        <w:t>7</w:t>
      </w:r>
      <w:r>
        <w:rPr>
          <w:b/>
          <w:sz w:val="24"/>
          <w:szCs w:val="24"/>
        </w:rPr>
        <w:t>.2.5</w:t>
      </w:r>
      <w:r>
        <w:rPr>
          <w:rFonts w:hint="eastAsia"/>
          <w:b/>
          <w:sz w:val="24"/>
          <w:szCs w:val="24"/>
        </w:rPr>
        <w:t xml:space="preserve">  </w:t>
      </w:r>
      <w:r>
        <w:rPr>
          <w:sz w:val="24"/>
          <w:szCs w:val="24"/>
        </w:rPr>
        <w:t>供暖空调系统的冷、热源机组能效均优于现行国家标准《公共建筑节能设计标准》GB 50189的规定以及现行有关国家标准能效限定值的要求，评价总分值为10分，按表7.2.5的规则评分。</w:t>
      </w:r>
    </w:p>
    <w:p>
      <w:pPr>
        <w:spacing w:line="300" w:lineRule="auto"/>
        <w:jc w:val="center"/>
        <w:rPr>
          <w:rFonts w:eastAsia="黑体"/>
          <w:b/>
          <w:bCs/>
          <w:sz w:val="22"/>
        </w:rPr>
      </w:pPr>
      <w:r>
        <w:rPr>
          <w:rFonts w:eastAsia="黑体"/>
          <w:b/>
          <w:bCs/>
          <w:sz w:val="22"/>
        </w:rPr>
        <w:t>表7.2.5 冷、热源机组能效提升幅度评分规则</w:t>
      </w:r>
    </w:p>
    <w:tbl>
      <w:tblPr>
        <w:tblStyle w:val="1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65"/>
        <w:gridCol w:w="1726"/>
        <w:gridCol w:w="2287"/>
        <w:gridCol w:w="1962"/>
        <w:gridCol w:w="1630"/>
        <w:gridCol w:w="16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437" w:hRule="atLeast"/>
          <w:jc w:val="center"/>
        </w:trPr>
        <w:tc>
          <w:tcPr>
            <w:tcW w:w="1169" w:type="pct"/>
            <w:gridSpan w:val="2"/>
            <w:noWrap w:val="0"/>
            <w:vAlign w:val="center"/>
          </w:tcPr>
          <w:p>
            <w:pPr>
              <w:adjustRightInd w:val="0"/>
              <w:jc w:val="center"/>
              <w:rPr>
                <w:bCs/>
                <w:szCs w:val="21"/>
              </w:rPr>
            </w:pPr>
            <w:r>
              <w:rPr>
                <w:bCs/>
                <w:szCs w:val="21"/>
              </w:rPr>
              <w:t>机组类型</w:t>
            </w:r>
          </w:p>
        </w:tc>
        <w:tc>
          <w:tcPr>
            <w:tcW w:w="1167" w:type="pct"/>
            <w:noWrap w:val="0"/>
            <w:vAlign w:val="center"/>
          </w:tcPr>
          <w:p>
            <w:pPr>
              <w:adjustRightInd w:val="0"/>
              <w:jc w:val="center"/>
              <w:rPr>
                <w:bCs/>
                <w:szCs w:val="21"/>
              </w:rPr>
            </w:pPr>
            <w:r>
              <w:rPr>
                <w:bCs/>
                <w:szCs w:val="21"/>
              </w:rPr>
              <w:t>能效指标</w:t>
            </w:r>
          </w:p>
        </w:tc>
        <w:tc>
          <w:tcPr>
            <w:tcW w:w="1001" w:type="pct"/>
            <w:noWrap w:val="0"/>
            <w:vAlign w:val="center"/>
          </w:tcPr>
          <w:p>
            <w:pPr>
              <w:adjustRightInd w:val="0"/>
              <w:jc w:val="center"/>
              <w:rPr>
                <w:bCs/>
                <w:szCs w:val="21"/>
              </w:rPr>
            </w:pPr>
            <w:r>
              <w:rPr>
                <w:bCs/>
                <w:szCs w:val="21"/>
              </w:rPr>
              <w:t>参照标准</w:t>
            </w:r>
          </w:p>
        </w:tc>
        <w:tc>
          <w:tcPr>
            <w:tcW w:w="1663" w:type="pct"/>
            <w:gridSpan w:val="2"/>
            <w:noWrap w:val="0"/>
            <w:vAlign w:val="center"/>
          </w:tcPr>
          <w:p>
            <w:pPr>
              <w:adjustRightInd w:val="0"/>
              <w:jc w:val="center"/>
              <w:rPr>
                <w:bCs/>
                <w:szCs w:val="21"/>
              </w:rPr>
            </w:pPr>
            <w:r>
              <w:rPr>
                <w:bCs/>
                <w:szCs w:val="21"/>
              </w:rPr>
              <w:t>评分要求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46" w:hRule="atLeast"/>
          <w:jc w:val="center"/>
        </w:trPr>
        <w:tc>
          <w:tcPr>
            <w:tcW w:w="1169" w:type="pct"/>
            <w:gridSpan w:val="2"/>
            <w:noWrap w:val="0"/>
            <w:vAlign w:val="center"/>
          </w:tcPr>
          <w:p>
            <w:pPr>
              <w:adjustRightInd w:val="0"/>
              <w:jc w:val="center"/>
              <w:rPr>
                <w:bCs/>
                <w:szCs w:val="21"/>
              </w:rPr>
            </w:pPr>
            <w:r>
              <w:rPr>
                <w:bCs/>
                <w:szCs w:val="21"/>
              </w:rPr>
              <w:t>电机驱动的蒸气压缩循环冷水（热泵）机组</w:t>
            </w:r>
          </w:p>
        </w:tc>
        <w:tc>
          <w:tcPr>
            <w:tcW w:w="1167" w:type="pct"/>
            <w:noWrap w:val="0"/>
            <w:vAlign w:val="center"/>
          </w:tcPr>
          <w:p>
            <w:pPr>
              <w:adjustRightInd w:val="0"/>
              <w:jc w:val="center"/>
              <w:rPr>
                <w:bCs/>
                <w:szCs w:val="21"/>
              </w:rPr>
            </w:pPr>
            <w:r>
              <w:rPr>
                <w:bCs/>
                <w:szCs w:val="21"/>
              </w:rPr>
              <w:t>制冷性能系数</w:t>
            </w:r>
            <w:r>
              <w:rPr>
                <w:szCs w:val="21"/>
              </w:rPr>
              <w:t>（COP）</w:t>
            </w:r>
          </w:p>
        </w:tc>
        <w:tc>
          <w:tcPr>
            <w:tcW w:w="1001" w:type="pct"/>
            <w:vMerge w:val="restart"/>
            <w:noWrap w:val="0"/>
            <w:vAlign w:val="center"/>
          </w:tcPr>
          <w:p>
            <w:pPr>
              <w:adjustRightInd w:val="0"/>
              <w:jc w:val="center"/>
              <w:rPr>
                <w:bCs/>
                <w:szCs w:val="21"/>
              </w:rPr>
            </w:pPr>
            <w:r>
              <w:rPr>
                <w:bCs/>
                <w:szCs w:val="21"/>
              </w:rPr>
              <w:t>现行国家标准《公共建筑节能设计标准》GB 50189</w:t>
            </w:r>
          </w:p>
        </w:tc>
        <w:tc>
          <w:tcPr>
            <w:tcW w:w="832" w:type="pct"/>
            <w:noWrap w:val="0"/>
            <w:vAlign w:val="center"/>
          </w:tcPr>
          <w:p>
            <w:pPr>
              <w:adjustRightInd w:val="0"/>
              <w:jc w:val="center"/>
              <w:rPr>
                <w:bCs/>
                <w:szCs w:val="21"/>
              </w:rPr>
            </w:pPr>
            <w:r>
              <w:rPr>
                <w:bCs/>
                <w:szCs w:val="21"/>
              </w:rPr>
              <w:t>提高6%</w:t>
            </w:r>
          </w:p>
        </w:tc>
        <w:tc>
          <w:tcPr>
            <w:tcW w:w="831" w:type="pct"/>
            <w:noWrap w:val="0"/>
            <w:vAlign w:val="center"/>
          </w:tcPr>
          <w:p>
            <w:pPr>
              <w:adjustRightInd w:val="0"/>
              <w:jc w:val="center"/>
              <w:rPr>
                <w:bCs/>
                <w:szCs w:val="21"/>
              </w:rPr>
            </w:pPr>
            <w:r>
              <w:rPr>
                <w:bCs/>
                <w:szCs w:val="21"/>
              </w:rPr>
              <w:t>提高12%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jc w:val="center"/>
        </w:trPr>
        <w:tc>
          <w:tcPr>
            <w:tcW w:w="1169" w:type="pct"/>
            <w:gridSpan w:val="2"/>
            <w:noWrap w:val="0"/>
            <w:vAlign w:val="center"/>
          </w:tcPr>
          <w:p>
            <w:pPr>
              <w:adjustRightInd w:val="0"/>
              <w:jc w:val="center"/>
              <w:rPr>
                <w:bCs/>
                <w:szCs w:val="21"/>
              </w:rPr>
            </w:pPr>
            <w:r>
              <w:rPr>
                <w:bCs/>
                <w:szCs w:val="21"/>
              </w:rPr>
              <w:t>直燃型溴化锂吸收式冷（温）水机组</w:t>
            </w:r>
          </w:p>
        </w:tc>
        <w:tc>
          <w:tcPr>
            <w:tcW w:w="1167" w:type="pct"/>
            <w:noWrap w:val="0"/>
            <w:vAlign w:val="center"/>
          </w:tcPr>
          <w:p>
            <w:pPr>
              <w:adjustRightInd w:val="0"/>
              <w:jc w:val="center"/>
              <w:rPr>
                <w:bCs/>
                <w:szCs w:val="21"/>
              </w:rPr>
            </w:pPr>
            <w:r>
              <w:rPr>
                <w:bCs/>
                <w:szCs w:val="21"/>
              </w:rPr>
              <w:t>制冷、供热性能系数</w:t>
            </w:r>
            <w:r>
              <w:rPr>
                <w:szCs w:val="21"/>
              </w:rPr>
              <w:t>（COP）</w:t>
            </w:r>
          </w:p>
        </w:tc>
        <w:tc>
          <w:tcPr>
            <w:tcW w:w="1001" w:type="pct"/>
            <w:vMerge w:val="continue"/>
            <w:noWrap w:val="0"/>
            <w:vAlign w:val="center"/>
          </w:tcPr>
          <w:p>
            <w:pPr>
              <w:adjustRightInd w:val="0"/>
              <w:jc w:val="center"/>
              <w:rPr>
                <w:bCs/>
                <w:szCs w:val="21"/>
              </w:rPr>
            </w:pPr>
          </w:p>
        </w:tc>
        <w:tc>
          <w:tcPr>
            <w:tcW w:w="832" w:type="pct"/>
            <w:noWrap w:val="0"/>
            <w:vAlign w:val="center"/>
          </w:tcPr>
          <w:p>
            <w:pPr>
              <w:adjustRightInd w:val="0"/>
              <w:jc w:val="center"/>
              <w:rPr>
                <w:bCs/>
                <w:szCs w:val="21"/>
              </w:rPr>
            </w:pPr>
            <w:r>
              <w:rPr>
                <w:bCs/>
                <w:szCs w:val="21"/>
              </w:rPr>
              <w:t>提高6%</w:t>
            </w:r>
          </w:p>
        </w:tc>
        <w:tc>
          <w:tcPr>
            <w:tcW w:w="831" w:type="pct"/>
            <w:noWrap w:val="0"/>
            <w:vAlign w:val="center"/>
          </w:tcPr>
          <w:p>
            <w:pPr>
              <w:adjustRightInd w:val="0"/>
              <w:jc w:val="center"/>
              <w:rPr>
                <w:bCs/>
                <w:szCs w:val="21"/>
              </w:rPr>
            </w:pPr>
            <w:r>
              <w:rPr>
                <w:bCs/>
                <w:szCs w:val="21"/>
              </w:rPr>
              <w:t>提高12%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jc w:val="center"/>
        </w:trPr>
        <w:tc>
          <w:tcPr>
            <w:tcW w:w="1169" w:type="pct"/>
            <w:gridSpan w:val="2"/>
            <w:noWrap w:val="0"/>
            <w:vAlign w:val="center"/>
          </w:tcPr>
          <w:p>
            <w:pPr>
              <w:adjustRightInd w:val="0"/>
              <w:jc w:val="center"/>
              <w:rPr>
                <w:bCs/>
                <w:szCs w:val="21"/>
              </w:rPr>
            </w:pPr>
            <w:r>
              <w:rPr>
                <w:bCs/>
                <w:szCs w:val="21"/>
              </w:rPr>
              <w:t>单元式空气调节机、风管送风式和屋顶式空调机组</w:t>
            </w:r>
          </w:p>
        </w:tc>
        <w:tc>
          <w:tcPr>
            <w:tcW w:w="1167" w:type="pct"/>
            <w:noWrap w:val="0"/>
            <w:vAlign w:val="center"/>
          </w:tcPr>
          <w:p>
            <w:pPr>
              <w:adjustRightInd w:val="0"/>
              <w:jc w:val="center"/>
              <w:rPr>
                <w:bCs/>
                <w:szCs w:val="21"/>
              </w:rPr>
            </w:pPr>
            <w:r>
              <w:rPr>
                <w:bCs/>
                <w:szCs w:val="21"/>
              </w:rPr>
              <w:t>能效比（EER）</w:t>
            </w:r>
          </w:p>
        </w:tc>
        <w:tc>
          <w:tcPr>
            <w:tcW w:w="1001" w:type="pct"/>
            <w:vMerge w:val="continue"/>
            <w:noWrap w:val="0"/>
            <w:vAlign w:val="center"/>
          </w:tcPr>
          <w:p>
            <w:pPr>
              <w:adjustRightInd w:val="0"/>
              <w:jc w:val="center"/>
              <w:rPr>
                <w:bCs/>
                <w:szCs w:val="21"/>
              </w:rPr>
            </w:pPr>
          </w:p>
        </w:tc>
        <w:tc>
          <w:tcPr>
            <w:tcW w:w="832" w:type="pct"/>
            <w:noWrap w:val="0"/>
            <w:vAlign w:val="center"/>
          </w:tcPr>
          <w:p>
            <w:pPr>
              <w:adjustRightInd w:val="0"/>
              <w:jc w:val="center"/>
              <w:rPr>
                <w:bCs/>
                <w:szCs w:val="21"/>
              </w:rPr>
            </w:pPr>
            <w:r>
              <w:rPr>
                <w:bCs/>
                <w:szCs w:val="21"/>
              </w:rPr>
              <w:t>提高6%</w:t>
            </w:r>
          </w:p>
        </w:tc>
        <w:tc>
          <w:tcPr>
            <w:tcW w:w="831" w:type="pct"/>
            <w:noWrap w:val="0"/>
            <w:vAlign w:val="center"/>
          </w:tcPr>
          <w:p>
            <w:pPr>
              <w:adjustRightInd w:val="0"/>
              <w:jc w:val="center"/>
              <w:rPr>
                <w:bCs/>
                <w:szCs w:val="21"/>
              </w:rPr>
            </w:pPr>
            <w:r>
              <w:rPr>
                <w:bCs/>
                <w:szCs w:val="21"/>
              </w:rPr>
              <w:t>提高12%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jc w:val="center"/>
        </w:trPr>
        <w:tc>
          <w:tcPr>
            <w:tcW w:w="1169" w:type="pct"/>
            <w:gridSpan w:val="2"/>
            <w:noWrap w:val="0"/>
            <w:vAlign w:val="center"/>
          </w:tcPr>
          <w:p>
            <w:pPr>
              <w:adjustRightInd w:val="0"/>
              <w:jc w:val="center"/>
              <w:rPr>
                <w:bCs/>
                <w:szCs w:val="21"/>
              </w:rPr>
            </w:pPr>
            <w:r>
              <w:rPr>
                <w:bCs/>
                <w:szCs w:val="21"/>
              </w:rPr>
              <w:t>多联式空调（热泵）机组</w:t>
            </w:r>
          </w:p>
        </w:tc>
        <w:tc>
          <w:tcPr>
            <w:tcW w:w="1167" w:type="pct"/>
            <w:noWrap w:val="0"/>
            <w:vAlign w:val="center"/>
          </w:tcPr>
          <w:p>
            <w:pPr>
              <w:adjustRightInd w:val="0"/>
              <w:jc w:val="center"/>
              <w:rPr>
                <w:bCs/>
                <w:szCs w:val="21"/>
              </w:rPr>
            </w:pPr>
            <w:r>
              <w:rPr>
                <w:bCs/>
                <w:szCs w:val="21"/>
              </w:rPr>
              <w:t>制冷综合性能系数（IPLV（C））</w:t>
            </w:r>
          </w:p>
        </w:tc>
        <w:tc>
          <w:tcPr>
            <w:tcW w:w="1001" w:type="pct"/>
            <w:vMerge w:val="continue"/>
            <w:noWrap w:val="0"/>
            <w:vAlign w:val="center"/>
          </w:tcPr>
          <w:p>
            <w:pPr>
              <w:adjustRightInd w:val="0"/>
              <w:jc w:val="center"/>
              <w:rPr>
                <w:bCs/>
                <w:szCs w:val="21"/>
              </w:rPr>
            </w:pPr>
          </w:p>
        </w:tc>
        <w:tc>
          <w:tcPr>
            <w:tcW w:w="832" w:type="pct"/>
            <w:noWrap w:val="0"/>
            <w:vAlign w:val="center"/>
          </w:tcPr>
          <w:p>
            <w:pPr>
              <w:adjustRightInd w:val="0"/>
              <w:jc w:val="center"/>
              <w:rPr>
                <w:bCs/>
                <w:szCs w:val="21"/>
              </w:rPr>
            </w:pPr>
            <w:r>
              <w:rPr>
                <w:bCs/>
                <w:szCs w:val="21"/>
              </w:rPr>
              <w:t>提高8%</w:t>
            </w:r>
          </w:p>
        </w:tc>
        <w:tc>
          <w:tcPr>
            <w:tcW w:w="831" w:type="pct"/>
            <w:noWrap w:val="0"/>
            <w:vAlign w:val="center"/>
          </w:tcPr>
          <w:p>
            <w:pPr>
              <w:adjustRightInd w:val="0"/>
              <w:jc w:val="center"/>
              <w:rPr>
                <w:bCs/>
                <w:szCs w:val="21"/>
              </w:rPr>
            </w:pPr>
            <w:r>
              <w:rPr>
                <w:bCs/>
                <w:szCs w:val="21"/>
              </w:rPr>
              <w:t>提高16%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jc w:val="center"/>
        </w:trPr>
        <w:tc>
          <w:tcPr>
            <w:tcW w:w="288" w:type="pct"/>
            <w:vMerge w:val="restart"/>
            <w:noWrap w:val="0"/>
            <w:vAlign w:val="center"/>
          </w:tcPr>
          <w:p>
            <w:pPr>
              <w:adjustRightInd w:val="0"/>
              <w:jc w:val="center"/>
              <w:rPr>
                <w:bCs/>
                <w:szCs w:val="21"/>
              </w:rPr>
            </w:pPr>
            <w:r>
              <w:rPr>
                <w:bCs/>
                <w:szCs w:val="21"/>
              </w:rPr>
              <w:t>锅炉</w:t>
            </w:r>
          </w:p>
        </w:tc>
        <w:tc>
          <w:tcPr>
            <w:tcW w:w="881" w:type="pct"/>
            <w:noWrap w:val="0"/>
            <w:vAlign w:val="center"/>
          </w:tcPr>
          <w:p>
            <w:pPr>
              <w:adjustRightInd w:val="0"/>
              <w:jc w:val="center"/>
              <w:rPr>
                <w:bCs/>
                <w:szCs w:val="21"/>
              </w:rPr>
            </w:pPr>
            <w:r>
              <w:rPr>
                <w:bCs/>
                <w:szCs w:val="21"/>
              </w:rPr>
              <w:t>燃煤</w:t>
            </w:r>
          </w:p>
        </w:tc>
        <w:tc>
          <w:tcPr>
            <w:tcW w:w="1167" w:type="pct"/>
            <w:noWrap w:val="0"/>
            <w:vAlign w:val="center"/>
          </w:tcPr>
          <w:p>
            <w:pPr>
              <w:adjustRightInd w:val="0"/>
              <w:jc w:val="center"/>
              <w:rPr>
                <w:bCs/>
                <w:szCs w:val="21"/>
              </w:rPr>
            </w:pPr>
            <w:r>
              <w:rPr>
                <w:bCs/>
                <w:szCs w:val="21"/>
              </w:rPr>
              <w:t>热效率</w:t>
            </w:r>
          </w:p>
        </w:tc>
        <w:tc>
          <w:tcPr>
            <w:tcW w:w="1001" w:type="pct"/>
            <w:vMerge w:val="continue"/>
            <w:noWrap w:val="0"/>
            <w:vAlign w:val="center"/>
          </w:tcPr>
          <w:p>
            <w:pPr>
              <w:adjustRightInd w:val="0"/>
              <w:jc w:val="center"/>
              <w:rPr>
                <w:bCs/>
                <w:szCs w:val="21"/>
              </w:rPr>
            </w:pPr>
          </w:p>
        </w:tc>
        <w:tc>
          <w:tcPr>
            <w:tcW w:w="832" w:type="pct"/>
            <w:noWrap w:val="0"/>
            <w:vAlign w:val="center"/>
          </w:tcPr>
          <w:p>
            <w:pPr>
              <w:adjustRightInd w:val="0"/>
              <w:jc w:val="center"/>
              <w:rPr>
                <w:bCs/>
                <w:szCs w:val="21"/>
              </w:rPr>
            </w:pPr>
            <w:r>
              <w:rPr>
                <w:bCs/>
                <w:szCs w:val="21"/>
              </w:rPr>
              <w:t>提高3个百分点</w:t>
            </w:r>
          </w:p>
        </w:tc>
        <w:tc>
          <w:tcPr>
            <w:tcW w:w="831" w:type="pct"/>
            <w:noWrap w:val="0"/>
            <w:vAlign w:val="center"/>
          </w:tcPr>
          <w:p>
            <w:pPr>
              <w:adjustRightInd w:val="0"/>
              <w:jc w:val="center"/>
              <w:rPr>
                <w:bCs/>
                <w:szCs w:val="21"/>
              </w:rPr>
            </w:pPr>
            <w:r>
              <w:rPr>
                <w:bCs/>
                <w:szCs w:val="21"/>
              </w:rPr>
              <w:t>提高6个百分点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jc w:val="center"/>
        </w:trPr>
        <w:tc>
          <w:tcPr>
            <w:tcW w:w="288" w:type="pct"/>
            <w:vMerge w:val="continue"/>
            <w:noWrap w:val="0"/>
            <w:vAlign w:val="center"/>
          </w:tcPr>
          <w:p>
            <w:pPr>
              <w:adjustRightInd w:val="0"/>
              <w:jc w:val="center"/>
              <w:rPr>
                <w:bCs/>
                <w:szCs w:val="21"/>
              </w:rPr>
            </w:pPr>
          </w:p>
        </w:tc>
        <w:tc>
          <w:tcPr>
            <w:tcW w:w="881" w:type="pct"/>
            <w:noWrap w:val="0"/>
            <w:vAlign w:val="center"/>
          </w:tcPr>
          <w:p>
            <w:pPr>
              <w:adjustRightInd w:val="0"/>
              <w:jc w:val="center"/>
              <w:rPr>
                <w:bCs/>
                <w:szCs w:val="21"/>
              </w:rPr>
            </w:pPr>
            <w:r>
              <w:rPr>
                <w:bCs/>
                <w:szCs w:val="21"/>
              </w:rPr>
              <w:t>燃油燃气</w:t>
            </w:r>
          </w:p>
        </w:tc>
        <w:tc>
          <w:tcPr>
            <w:tcW w:w="1167" w:type="pct"/>
            <w:noWrap w:val="0"/>
            <w:vAlign w:val="center"/>
          </w:tcPr>
          <w:p>
            <w:pPr>
              <w:adjustRightInd w:val="0"/>
              <w:jc w:val="center"/>
              <w:rPr>
                <w:bCs/>
                <w:szCs w:val="21"/>
              </w:rPr>
            </w:pPr>
            <w:r>
              <w:rPr>
                <w:bCs/>
                <w:szCs w:val="21"/>
              </w:rPr>
              <w:t>热效率</w:t>
            </w:r>
          </w:p>
        </w:tc>
        <w:tc>
          <w:tcPr>
            <w:tcW w:w="1001" w:type="pct"/>
            <w:vMerge w:val="continue"/>
            <w:noWrap w:val="0"/>
            <w:vAlign w:val="center"/>
          </w:tcPr>
          <w:p>
            <w:pPr>
              <w:adjustRightInd w:val="0"/>
              <w:jc w:val="center"/>
              <w:rPr>
                <w:bCs/>
                <w:szCs w:val="21"/>
              </w:rPr>
            </w:pPr>
          </w:p>
        </w:tc>
        <w:tc>
          <w:tcPr>
            <w:tcW w:w="832" w:type="pct"/>
            <w:noWrap w:val="0"/>
            <w:vAlign w:val="center"/>
          </w:tcPr>
          <w:p>
            <w:pPr>
              <w:adjustRightInd w:val="0"/>
              <w:jc w:val="center"/>
              <w:rPr>
                <w:bCs/>
                <w:szCs w:val="21"/>
              </w:rPr>
            </w:pPr>
            <w:r>
              <w:rPr>
                <w:bCs/>
                <w:szCs w:val="21"/>
              </w:rPr>
              <w:t>提高2个百分点</w:t>
            </w:r>
          </w:p>
        </w:tc>
        <w:tc>
          <w:tcPr>
            <w:tcW w:w="831" w:type="pct"/>
            <w:noWrap w:val="0"/>
            <w:vAlign w:val="center"/>
          </w:tcPr>
          <w:p>
            <w:pPr>
              <w:adjustRightInd w:val="0"/>
              <w:jc w:val="center"/>
              <w:rPr>
                <w:bCs/>
                <w:szCs w:val="21"/>
              </w:rPr>
            </w:pPr>
            <w:r>
              <w:rPr>
                <w:bCs/>
                <w:szCs w:val="21"/>
              </w:rPr>
              <w:t>提高4个百分点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jc w:val="center"/>
        </w:trPr>
        <w:tc>
          <w:tcPr>
            <w:tcW w:w="1169" w:type="pct"/>
            <w:gridSpan w:val="2"/>
            <w:noWrap w:val="0"/>
            <w:vAlign w:val="center"/>
          </w:tcPr>
          <w:p>
            <w:pPr>
              <w:adjustRightInd w:val="0"/>
              <w:jc w:val="center"/>
              <w:rPr>
                <w:bCs/>
                <w:szCs w:val="21"/>
              </w:rPr>
            </w:pPr>
            <w:r>
              <w:rPr>
                <w:bCs/>
                <w:szCs w:val="21"/>
              </w:rPr>
              <w:t>房间空气调节器</w:t>
            </w:r>
          </w:p>
        </w:tc>
        <w:tc>
          <w:tcPr>
            <w:tcW w:w="1167" w:type="pct"/>
            <w:noWrap w:val="0"/>
            <w:vAlign w:val="center"/>
          </w:tcPr>
          <w:p>
            <w:pPr>
              <w:adjustRightInd w:val="0"/>
              <w:jc w:val="center"/>
              <w:rPr>
                <w:bCs/>
                <w:szCs w:val="21"/>
              </w:rPr>
            </w:pPr>
            <w:r>
              <w:rPr>
                <w:bCs/>
                <w:szCs w:val="21"/>
              </w:rPr>
              <w:t>能效比（EER）、能源消耗效率</w:t>
            </w:r>
          </w:p>
        </w:tc>
        <w:tc>
          <w:tcPr>
            <w:tcW w:w="1001" w:type="pct"/>
            <w:vMerge w:val="restart"/>
            <w:noWrap w:val="0"/>
            <w:vAlign w:val="center"/>
          </w:tcPr>
          <w:p>
            <w:pPr>
              <w:adjustRightInd w:val="0"/>
              <w:jc w:val="center"/>
              <w:rPr>
                <w:bCs/>
                <w:szCs w:val="21"/>
              </w:rPr>
            </w:pPr>
            <w:r>
              <w:rPr>
                <w:bCs/>
                <w:szCs w:val="21"/>
              </w:rPr>
              <w:t>现行有关国家标准</w:t>
            </w:r>
          </w:p>
        </w:tc>
        <w:tc>
          <w:tcPr>
            <w:tcW w:w="832" w:type="pct"/>
            <w:vMerge w:val="restart"/>
            <w:noWrap w:val="0"/>
            <w:vAlign w:val="center"/>
          </w:tcPr>
          <w:p>
            <w:pPr>
              <w:adjustRightInd w:val="0"/>
              <w:jc w:val="center"/>
              <w:rPr>
                <w:bCs/>
                <w:szCs w:val="21"/>
              </w:rPr>
            </w:pPr>
            <w:r>
              <w:rPr>
                <w:bCs/>
                <w:szCs w:val="21"/>
              </w:rPr>
              <w:t>节能评价值</w:t>
            </w:r>
          </w:p>
        </w:tc>
        <w:tc>
          <w:tcPr>
            <w:tcW w:w="831" w:type="pct"/>
            <w:vMerge w:val="restart"/>
            <w:noWrap w:val="0"/>
            <w:vAlign w:val="center"/>
          </w:tcPr>
          <w:p>
            <w:pPr>
              <w:adjustRightInd w:val="0"/>
              <w:jc w:val="center"/>
              <w:rPr>
                <w:bCs/>
                <w:szCs w:val="21"/>
              </w:rPr>
            </w:pPr>
            <w:r>
              <w:rPr>
                <w:bCs/>
                <w:szCs w:val="21"/>
              </w:rPr>
              <w:t>1级能效等级限值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jc w:val="center"/>
        </w:trPr>
        <w:tc>
          <w:tcPr>
            <w:tcW w:w="1169" w:type="pct"/>
            <w:gridSpan w:val="2"/>
            <w:noWrap w:val="0"/>
            <w:vAlign w:val="center"/>
          </w:tcPr>
          <w:p>
            <w:pPr>
              <w:adjustRightInd w:val="0"/>
              <w:jc w:val="center"/>
              <w:rPr>
                <w:bCs/>
                <w:szCs w:val="21"/>
              </w:rPr>
            </w:pPr>
            <w:r>
              <w:rPr>
                <w:bCs/>
                <w:szCs w:val="21"/>
              </w:rPr>
              <w:t>家用燃气热水炉</w:t>
            </w:r>
          </w:p>
        </w:tc>
        <w:tc>
          <w:tcPr>
            <w:tcW w:w="1167" w:type="pct"/>
            <w:noWrap w:val="0"/>
            <w:vAlign w:val="center"/>
          </w:tcPr>
          <w:p>
            <w:pPr>
              <w:adjustRightInd w:val="0"/>
              <w:jc w:val="center"/>
              <w:rPr>
                <w:bCs/>
                <w:szCs w:val="21"/>
              </w:rPr>
            </w:pPr>
            <w:r>
              <w:rPr>
                <w:bCs/>
                <w:szCs w:val="21"/>
              </w:rPr>
              <w:t>热效率值（</w:t>
            </w:r>
            <w:r>
              <w:rPr>
                <w:bCs/>
                <w:i/>
                <w:szCs w:val="21"/>
              </w:rPr>
              <w:t>η</w:t>
            </w:r>
            <w:r>
              <w:rPr>
                <w:bCs/>
                <w:szCs w:val="21"/>
              </w:rPr>
              <w:t>）</w:t>
            </w:r>
          </w:p>
        </w:tc>
        <w:tc>
          <w:tcPr>
            <w:tcW w:w="1001" w:type="pct"/>
            <w:vMerge w:val="continue"/>
            <w:noWrap w:val="0"/>
            <w:vAlign w:val="center"/>
          </w:tcPr>
          <w:p>
            <w:pPr>
              <w:adjustRightInd w:val="0"/>
              <w:jc w:val="center"/>
              <w:rPr>
                <w:bCs/>
                <w:szCs w:val="21"/>
              </w:rPr>
            </w:pPr>
          </w:p>
        </w:tc>
        <w:tc>
          <w:tcPr>
            <w:tcW w:w="832" w:type="pct"/>
            <w:vMerge w:val="continue"/>
            <w:noWrap w:val="0"/>
            <w:vAlign w:val="center"/>
          </w:tcPr>
          <w:p>
            <w:pPr>
              <w:adjustRightInd w:val="0"/>
              <w:rPr>
                <w:bCs/>
                <w:szCs w:val="21"/>
              </w:rPr>
            </w:pPr>
          </w:p>
        </w:tc>
        <w:tc>
          <w:tcPr>
            <w:tcW w:w="831" w:type="pct"/>
            <w:vMerge w:val="continue"/>
            <w:noWrap w:val="0"/>
            <w:vAlign w:val="center"/>
          </w:tcPr>
          <w:p>
            <w:pPr>
              <w:adjustRightInd w:val="0"/>
              <w:rPr>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jc w:val="center"/>
        </w:trPr>
        <w:tc>
          <w:tcPr>
            <w:tcW w:w="1169" w:type="pct"/>
            <w:gridSpan w:val="2"/>
            <w:noWrap w:val="0"/>
            <w:vAlign w:val="center"/>
          </w:tcPr>
          <w:p>
            <w:pPr>
              <w:adjustRightInd w:val="0"/>
              <w:jc w:val="center"/>
              <w:rPr>
                <w:bCs/>
                <w:szCs w:val="21"/>
              </w:rPr>
            </w:pPr>
            <w:r>
              <w:rPr>
                <w:bCs/>
                <w:szCs w:val="21"/>
              </w:rPr>
              <w:t>蒸汽型溴化锂吸收式冷水机组</w:t>
            </w:r>
          </w:p>
        </w:tc>
        <w:tc>
          <w:tcPr>
            <w:tcW w:w="1167" w:type="pct"/>
            <w:noWrap w:val="0"/>
            <w:vAlign w:val="center"/>
          </w:tcPr>
          <w:p>
            <w:pPr>
              <w:adjustRightInd w:val="0"/>
              <w:jc w:val="center"/>
              <w:rPr>
                <w:bCs/>
                <w:szCs w:val="21"/>
              </w:rPr>
            </w:pPr>
            <w:r>
              <w:rPr>
                <w:bCs/>
                <w:szCs w:val="21"/>
              </w:rPr>
              <w:t>制冷、供热性能系数（COP）</w:t>
            </w:r>
          </w:p>
        </w:tc>
        <w:tc>
          <w:tcPr>
            <w:tcW w:w="1001" w:type="pct"/>
            <w:vMerge w:val="continue"/>
            <w:noWrap w:val="0"/>
            <w:vAlign w:val="center"/>
          </w:tcPr>
          <w:p>
            <w:pPr>
              <w:adjustRightInd w:val="0"/>
              <w:jc w:val="center"/>
              <w:rPr>
                <w:bCs/>
                <w:szCs w:val="21"/>
              </w:rPr>
            </w:pPr>
          </w:p>
        </w:tc>
        <w:tc>
          <w:tcPr>
            <w:tcW w:w="832" w:type="pct"/>
            <w:vMerge w:val="continue"/>
            <w:noWrap w:val="0"/>
            <w:vAlign w:val="center"/>
          </w:tcPr>
          <w:p>
            <w:pPr>
              <w:adjustRightInd w:val="0"/>
              <w:rPr>
                <w:bCs/>
                <w:szCs w:val="21"/>
              </w:rPr>
            </w:pPr>
          </w:p>
        </w:tc>
        <w:tc>
          <w:tcPr>
            <w:tcW w:w="831" w:type="pct"/>
            <w:vMerge w:val="continue"/>
            <w:noWrap w:val="0"/>
            <w:vAlign w:val="center"/>
          </w:tcPr>
          <w:p>
            <w:pPr>
              <w:adjustRightInd w:val="0"/>
              <w:rPr>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jc w:val="center"/>
        </w:trPr>
        <w:tc>
          <w:tcPr>
            <w:tcW w:w="3337" w:type="pct"/>
            <w:gridSpan w:val="4"/>
            <w:noWrap w:val="0"/>
            <w:vAlign w:val="center"/>
          </w:tcPr>
          <w:p>
            <w:pPr>
              <w:adjustRightInd w:val="0"/>
              <w:jc w:val="center"/>
              <w:rPr>
                <w:bCs/>
                <w:szCs w:val="21"/>
              </w:rPr>
            </w:pPr>
            <w:r>
              <w:rPr>
                <w:bCs/>
                <w:szCs w:val="21"/>
              </w:rPr>
              <w:t>得分</w:t>
            </w:r>
          </w:p>
        </w:tc>
        <w:tc>
          <w:tcPr>
            <w:tcW w:w="832" w:type="pct"/>
            <w:noWrap w:val="0"/>
            <w:vAlign w:val="center"/>
          </w:tcPr>
          <w:p>
            <w:pPr>
              <w:adjustRightInd w:val="0"/>
              <w:jc w:val="center"/>
              <w:rPr>
                <w:bCs/>
                <w:szCs w:val="21"/>
              </w:rPr>
            </w:pPr>
            <w:r>
              <w:rPr>
                <w:bCs/>
                <w:szCs w:val="21"/>
              </w:rPr>
              <w:t>5分</w:t>
            </w:r>
          </w:p>
        </w:tc>
        <w:tc>
          <w:tcPr>
            <w:tcW w:w="831" w:type="pct"/>
            <w:noWrap w:val="0"/>
            <w:vAlign w:val="center"/>
          </w:tcPr>
          <w:p>
            <w:pPr>
              <w:adjustRightInd w:val="0"/>
              <w:jc w:val="center"/>
              <w:rPr>
                <w:bCs/>
                <w:szCs w:val="21"/>
              </w:rPr>
            </w:pPr>
            <w:r>
              <w:rPr>
                <w:bCs/>
                <w:szCs w:val="21"/>
              </w:rPr>
              <w:t>10分</w:t>
            </w:r>
          </w:p>
        </w:tc>
      </w:tr>
    </w:tbl>
    <w:p>
      <w:pPr>
        <w:spacing w:line="360" w:lineRule="auto"/>
        <w:outlineLvl w:val="2"/>
        <w:rPr>
          <w:b/>
          <w:sz w:val="24"/>
          <w:szCs w:val="24"/>
        </w:rPr>
      </w:pPr>
      <w:r>
        <w:rPr>
          <w:rFonts w:hint="eastAsia"/>
          <w:b/>
          <w:sz w:val="24"/>
          <w:szCs w:val="24"/>
        </w:rPr>
        <w:t>7</w:t>
      </w:r>
      <w:r>
        <w:rPr>
          <w:b/>
          <w:sz w:val="24"/>
          <w:szCs w:val="24"/>
        </w:rPr>
        <w:t>.2.</w:t>
      </w:r>
      <w:r>
        <w:rPr>
          <w:rFonts w:hint="eastAsia"/>
          <w:b/>
          <w:sz w:val="24"/>
          <w:szCs w:val="24"/>
        </w:rPr>
        <w:t xml:space="preserve">6  </w:t>
      </w:r>
      <w:r>
        <w:rPr>
          <w:rFonts w:hint="eastAsia"/>
          <w:sz w:val="24"/>
          <w:szCs w:val="24"/>
        </w:rPr>
        <w:t>采取有效措施降低供暖空调系统的末端系统及输配系统的能耗，评价总分值为5分，并按以下规则分别评分并累计：</w:t>
      </w:r>
    </w:p>
    <w:p>
      <w:pPr>
        <w:spacing w:line="360" w:lineRule="auto"/>
        <w:ind w:firstLine="482" w:firstLineChars="200"/>
        <w:rPr>
          <w:rFonts w:hint="eastAsia"/>
          <w:b/>
          <w:sz w:val="24"/>
          <w:szCs w:val="24"/>
        </w:rPr>
      </w:pPr>
      <w:r>
        <w:rPr>
          <w:rFonts w:hint="eastAsia"/>
          <w:b/>
          <w:sz w:val="24"/>
          <w:szCs w:val="24"/>
        </w:rPr>
        <w:t xml:space="preserve">1 </w:t>
      </w:r>
      <w:r>
        <w:rPr>
          <w:rFonts w:hint="eastAsia"/>
          <w:sz w:val="24"/>
          <w:szCs w:val="24"/>
        </w:rPr>
        <w:t>通风空调系统风机的单位风量耗功率比现行国家标准《公共建筑节能设计标准》GB 50189的规定低20%，得2分；</w:t>
      </w:r>
    </w:p>
    <w:p>
      <w:pPr>
        <w:spacing w:line="360" w:lineRule="auto"/>
        <w:ind w:firstLine="482" w:firstLineChars="200"/>
        <w:rPr>
          <w:rFonts w:hint="eastAsia"/>
          <w:sz w:val="24"/>
          <w:szCs w:val="24"/>
        </w:rPr>
      </w:pPr>
      <w:r>
        <w:rPr>
          <w:rFonts w:hint="eastAsia"/>
          <w:b/>
          <w:sz w:val="24"/>
          <w:szCs w:val="24"/>
        </w:rPr>
        <w:t xml:space="preserve">2 </w:t>
      </w:r>
      <w:r>
        <w:rPr>
          <w:rFonts w:hint="eastAsia"/>
          <w:sz w:val="24"/>
          <w:szCs w:val="24"/>
        </w:rPr>
        <w:t>集中供暖系统热水循环泵的耗电输热比、空调冷热水系统循环水泵的耗电输冷（热）比比现行国家标准《民用建筑供暖通风与空气调节设计规范》GB 50736规定值低20%，得3分。</w:t>
      </w:r>
    </w:p>
    <w:p>
      <w:pPr>
        <w:spacing w:line="360" w:lineRule="auto"/>
        <w:outlineLvl w:val="2"/>
        <w:rPr>
          <w:b/>
          <w:sz w:val="24"/>
          <w:szCs w:val="24"/>
        </w:rPr>
      </w:pPr>
      <w:r>
        <w:rPr>
          <w:rFonts w:hint="eastAsia"/>
          <w:b/>
          <w:sz w:val="24"/>
          <w:szCs w:val="24"/>
        </w:rPr>
        <w:t>7</w:t>
      </w:r>
      <w:r>
        <w:rPr>
          <w:b/>
          <w:sz w:val="24"/>
          <w:szCs w:val="24"/>
        </w:rPr>
        <w:t>.2.</w:t>
      </w:r>
      <w:r>
        <w:rPr>
          <w:rFonts w:hint="eastAsia"/>
          <w:b/>
          <w:sz w:val="24"/>
          <w:szCs w:val="24"/>
        </w:rPr>
        <w:t xml:space="preserve">7  </w:t>
      </w:r>
      <w:r>
        <w:rPr>
          <w:sz w:val="24"/>
          <w:szCs w:val="24"/>
        </w:rPr>
        <w:t>采用节能型电气设备及节能控制措施，评价总分值为10分，并按下列规则分别评分并累计：</w:t>
      </w:r>
    </w:p>
    <w:p>
      <w:pPr>
        <w:spacing w:line="360" w:lineRule="auto"/>
        <w:ind w:firstLine="482" w:firstLineChars="200"/>
        <w:rPr>
          <w:b/>
          <w:sz w:val="24"/>
          <w:szCs w:val="24"/>
        </w:rPr>
      </w:pPr>
      <w:r>
        <w:rPr>
          <w:b/>
          <w:sz w:val="24"/>
          <w:szCs w:val="24"/>
        </w:rPr>
        <w:t>1</w:t>
      </w:r>
      <w:r>
        <w:rPr>
          <w:rFonts w:hint="eastAsia"/>
          <w:b/>
          <w:sz w:val="24"/>
          <w:szCs w:val="24"/>
        </w:rPr>
        <w:t xml:space="preserve"> </w:t>
      </w:r>
      <w:r>
        <w:rPr>
          <w:sz w:val="24"/>
          <w:szCs w:val="24"/>
        </w:rPr>
        <w:t>主要功能房间的照明功率密度值达到现行国家标准《建筑照明设计标准》GB 50034规定的目标值，得</w:t>
      </w:r>
      <w:r>
        <w:rPr>
          <w:rFonts w:hint="eastAsia"/>
          <w:sz w:val="24"/>
          <w:szCs w:val="24"/>
        </w:rPr>
        <w:t>5</w:t>
      </w:r>
      <w:r>
        <w:rPr>
          <w:sz w:val="24"/>
          <w:szCs w:val="24"/>
        </w:rPr>
        <w:t>分；</w:t>
      </w:r>
    </w:p>
    <w:p>
      <w:pPr>
        <w:spacing w:line="360" w:lineRule="auto"/>
        <w:ind w:firstLine="482" w:firstLineChars="200"/>
        <w:rPr>
          <w:b/>
          <w:sz w:val="24"/>
          <w:szCs w:val="24"/>
        </w:rPr>
      </w:pPr>
      <w:r>
        <w:rPr>
          <w:b/>
          <w:sz w:val="24"/>
          <w:szCs w:val="24"/>
        </w:rPr>
        <w:t>2</w:t>
      </w:r>
      <w:r>
        <w:rPr>
          <w:rFonts w:hint="eastAsia"/>
          <w:b/>
          <w:sz w:val="24"/>
          <w:szCs w:val="24"/>
        </w:rPr>
        <w:t xml:space="preserve"> </w:t>
      </w:r>
      <w:r>
        <w:rPr>
          <w:sz w:val="24"/>
          <w:szCs w:val="24"/>
        </w:rPr>
        <w:t>采光区域的人工照明随天然光照度变化自动调节，得2分；</w:t>
      </w:r>
    </w:p>
    <w:p>
      <w:pPr>
        <w:spacing w:line="360" w:lineRule="auto"/>
        <w:ind w:firstLine="482" w:firstLineChars="200"/>
        <w:rPr>
          <w:rFonts w:hint="eastAsia"/>
          <w:b/>
          <w:sz w:val="24"/>
          <w:szCs w:val="24"/>
        </w:rPr>
      </w:pPr>
      <w:r>
        <w:rPr>
          <w:b/>
          <w:sz w:val="24"/>
          <w:szCs w:val="24"/>
        </w:rPr>
        <w:t>3</w:t>
      </w:r>
      <w:r>
        <w:rPr>
          <w:rFonts w:hint="eastAsia"/>
          <w:b/>
          <w:sz w:val="24"/>
          <w:szCs w:val="24"/>
        </w:rPr>
        <w:t xml:space="preserve"> </w:t>
      </w:r>
      <w:r>
        <w:rPr>
          <w:sz w:val="24"/>
          <w:szCs w:val="24"/>
        </w:rPr>
        <w:t>照明产品、三相配电变压器</w:t>
      </w:r>
      <w:r>
        <w:rPr>
          <w:rFonts w:hint="eastAsia"/>
          <w:sz w:val="24"/>
          <w:szCs w:val="24"/>
        </w:rPr>
        <w:t>满足国家现行有关标准的节能评价值的要求，</w:t>
      </w:r>
      <w:r>
        <w:rPr>
          <w:sz w:val="24"/>
          <w:szCs w:val="24"/>
        </w:rPr>
        <w:t>得</w:t>
      </w:r>
      <w:r>
        <w:rPr>
          <w:rFonts w:hint="eastAsia"/>
          <w:sz w:val="24"/>
          <w:szCs w:val="24"/>
        </w:rPr>
        <w:t>2</w:t>
      </w:r>
      <w:r>
        <w:rPr>
          <w:sz w:val="24"/>
          <w:szCs w:val="24"/>
        </w:rPr>
        <w:t>分</w:t>
      </w:r>
      <w:r>
        <w:rPr>
          <w:rFonts w:hint="eastAsia"/>
          <w:sz w:val="24"/>
          <w:szCs w:val="24"/>
        </w:rPr>
        <w:t>；</w:t>
      </w:r>
    </w:p>
    <w:p>
      <w:pPr>
        <w:spacing w:line="360" w:lineRule="auto"/>
        <w:ind w:firstLine="482" w:firstLineChars="200"/>
        <w:rPr>
          <w:rFonts w:hint="eastAsia"/>
          <w:b/>
          <w:sz w:val="24"/>
          <w:szCs w:val="24"/>
        </w:rPr>
      </w:pPr>
      <w:r>
        <w:rPr>
          <w:rFonts w:hint="eastAsia"/>
          <w:b/>
          <w:sz w:val="24"/>
          <w:szCs w:val="24"/>
        </w:rPr>
        <w:t xml:space="preserve">4 </w:t>
      </w:r>
      <w:r>
        <w:rPr>
          <w:sz w:val="24"/>
          <w:szCs w:val="24"/>
        </w:rPr>
        <w:t>水泵、风机等设备满足国家现行有关标准的节能评价值的要求，得</w:t>
      </w:r>
      <w:r>
        <w:rPr>
          <w:rFonts w:hint="eastAsia"/>
          <w:sz w:val="24"/>
          <w:szCs w:val="24"/>
        </w:rPr>
        <w:t>1</w:t>
      </w:r>
      <w:r>
        <w:rPr>
          <w:sz w:val="24"/>
          <w:szCs w:val="24"/>
        </w:rPr>
        <w:t>分。</w:t>
      </w:r>
    </w:p>
    <w:p>
      <w:pPr>
        <w:spacing w:line="360" w:lineRule="auto"/>
        <w:outlineLvl w:val="2"/>
        <w:rPr>
          <w:rFonts w:hint="eastAsia"/>
          <w:sz w:val="24"/>
          <w:szCs w:val="24"/>
        </w:rPr>
      </w:pPr>
      <w:r>
        <w:rPr>
          <w:rFonts w:hint="eastAsia"/>
          <w:b/>
          <w:sz w:val="24"/>
          <w:szCs w:val="24"/>
        </w:rPr>
        <w:t>7</w:t>
      </w:r>
      <w:r>
        <w:rPr>
          <w:b/>
          <w:sz w:val="24"/>
          <w:szCs w:val="24"/>
        </w:rPr>
        <w:t>.2.</w:t>
      </w:r>
      <w:r>
        <w:rPr>
          <w:rFonts w:hint="eastAsia"/>
          <w:b/>
          <w:sz w:val="24"/>
          <w:szCs w:val="24"/>
        </w:rPr>
        <w:t xml:space="preserve">8  </w:t>
      </w:r>
      <w:r>
        <w:rPr>
          <w:rFonts w:hint="eastAsia"/>
          <w:sz w:val="24"/>
          <w:szCs w:val="24"/>
        </w:rPr>
        <w:t>采取措施降低建筑能耗，评价总分值为10分。建筑能耗相比国家现行有关建筑节能标准降低10%，得5分；降低20%，得10分。</w:t>
      </w:r>
    </w:p>
    <w:p>
      <w:pPr>
        <w:spacing w:line="360" w:lineRule="auto"/>
        <w:outlineLvl w:val="2"/>
        <w:rPr>
          <w:rFonts w:hint="eastAsia"/>
          <w:sz w:val="24"/>
          <w:szCs w:val="24"/>
        </w:rPr>
      </w:pPr>
      <w:r>
        <w:rPr>
          <w:rFonts w:hint="eastAsia"/>
          <w:b/>
          <w:sz w:val="24"/>
          <w:szCs w:val="24"/>
        </w:rPr>
        <w:t>7</w:t>
      </w:r>
      <w:r>
        <w:rPr>
          <w:b/>
          <w:sz w:val="24"/>
          <w:szCs w:val="24"/>
        </w:rPr>
        <w:t>.2.</w:t>
      </w:r>
      <w:r>
        <w:rPr>
          <w:rFonts w:hint="eastAsia"/>
          <w:b/>
          <w:sz w:val="24"/>
          <w:szCs w:val="24"/>
        </w:rPr>
        <w:t xml:space="preserve">9  </w:t>
      </w:r>
      <w:r>
        <w:rPr>
          <w:sz w:val="24"/>
          <w:szCs w:val="24"/>
        </w:rPr>
        <w:t>结合当地气候和自然资源条件合理利用可再生能源，评价总分值为10分，按表7.2.9的规则评分。</w:t>
      </w:r>
    </w:p>
    <w:p>
      <w:pPr>
        <w:spacing w:line="300" w:lineRule="auto"/>
        <w:jc w:val="center"/>
        <w:rPr>
          <w:rFonts w:eastAsia="黑体"/>
          <w:b/>
          <w:bCs/>
          <w:sz w:val="22"/>
        </w:rPr>
      </w:pPr>
      <w:r>
        <w:rPr>
          <w:rFonts w:eastAsia="黑体"/>
          <w:b/>
          <w:bCs/>
          <w:sz w:val="22"/>
        </w:rPr>
        <w:t>表7.2.9可再生能源利用评分规则</w:t>
      </w:r>
    </w:p>
    <w:tbl>
      <w:tblPr>
        <w:tblStyle w:val="1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141"/>
        <w:gridCol w:w="4186"/>
        <w:gridCol w:w="24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39" w:type="pct"/>
            <w:gridSpan w:val="2"/>
            <w:noWrap w:val="0"/>
            <w:vAlign w:val="center"/>
          </w:tcPr>
          <w:p>
            <w:pPr>
              <w:adjustRightInd w:val="0"/>
              <w:jc w:val="center"/>
              <w:rPr>
                <w:bCs/>
                <w:sz w:val="24"/>
                <w:szCs w:val="24"/>
              </w:rPr>
            </w:pPr>
            <w:r>
              <w:rPr>
                <w:bCs/>
                <w:sz w:val="24"/>
                <w:szCs w:val="24"/>
              </w:rPr>
              <w:t>可再生能源利用类型和指标</w:t>
            </w:r>
          </w:p>
        </w:tc>
        <w:tc>
          <w:tcPr>
            <w:tcW w:w="1261" w:type="pct"/>
            <w:noWrap w:val="0"/>
            <w:vAlign w:val="center"/>
          </w:tcPr>
          <w:p>
            <w:pPr>
              <w:adjustRightInd w:val="0"/>
              <w:jc w:val="center"/>
              <w:rPr>
                <w:bCs/>
                <w:sz w:val="24"/>
                <w:szCs w:val="24"/>
              </w:rPr>
            </w:pPr>
            <w:r>
              <w:rPr>
                <w:bCs/>
                <w:sz w:val="24"/>
                <w:szCs w:val="24"/>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03" w:type="pct"/>
            <w:vMerge w:val="restart"/>
            <w:noWrap w:val="0"/>
            <w:vAlign w:val="center"/>
          </w:tcPr>
          <w:p>
            <w:pPr>
              <w:adjustRightInd w:val="0"/>
              <w:jc w:val="center"/>
              <w:rPr>
                <w:bCs/>
                <w:sz w:val="24"/>
                <w:szCs w:val="24"/>
              </w:rPr>
            </w:pPr>
            <w:r>
              <w:rPr>
                <w:bCs/>
                <w:sz w:val="24"/>
                <w:szCs w:val="24"/>
              </w:rPr>
              <w:t>由可再生能源提供的生活用热水比例</w:t>
            </w:r>
          </w:p>
          <w:p>
            <w:pPr>
              <w:adjustRightInd w:val="0"/>
              <w:jc w:val="center"/>
              <w:rPr>
                <w:bCs/>
                <w:sz w:val="24"/>
                <w:szCs w:val="24"/>
              </w:rPr>
            </w:pPr>
            <w:r>
              <w:rPr>
                <w:sz w:val="24"/>
                <w:szCs w:val="24"/>
              </w:rPr>
              <w:t>R</w:t>
            </w:r>
            <w:r>
              <w:rPr>
                <w:sz w:val="24"/>
                <w:szCs w:val="24"/>
                <w:vertAlign w:val="subscript"/>
              </w:rPr>
              <w:t>hw</w:t>
            </w:r>
          </w:p>
        </w:tc>
        <w:tc>
          <w:tcPr>
            <w:tcW w:w="2136" w:type="pct"/>
            <w:noWrap w:val="0"/>
            <w:vAlign w:val="center"/>
          </w:tcPr>
          <w:p>
            <w:pPr>
              <w:pStyle w:val="26"/>
              <w:adjustRightInd/>
              <w:spacing w:line="240" w:lineRule="auto"/>
              <w:ind w:firstLine="0" w:firstLineChars="0"/>
              <w:jc w:val="center"/>
              <w:outlineLvl w:val="9"/>
              <w:rPr>
                <w:bCs/>
                <w:kern w:val="2"/>
                <w:szCs w:val="24"/>
                <w:lang w:val="en-US" w:eastAsia="zh-CN"/>
              </w:rPr>
            </w:pPr>
            <w:r>
              <w:rPr>
                <w:bCs/>
                <w:kern w:val="2"/>
                <w:szCs w:val="24"/>
                <w:lang w:val="en-US" w:eastAsia="zh-CN"/>
              </w:rPr>
              <w:t>20%≤R</w:t>
            </w:r>
            <w:r>
              <w:rPr>
                <w:bCs/>
                <w:kern w:val="2"/>
                <w:szCs w:val="24"/>
                <w:vertAlign w:val="subscript"/>
                <w:lang w:val="en-US" w:eastAsia="zh-CN"/>
              </w:rPr>
              <w:t>hw</w:t>
            </w:r>
            <w:r>
              <w:rPr>
                <w:bCs/>
                <w:kern w:val="2"/>
                <w:szCs w:val="24"/>
                <w:lang w:val="en-US" w:eastAsia="zh-CN"/>
              </w:rPr>
              <w:t>＜35%</w:t>
            </w:r>
          </w:p>
        </w:tc>
        <w:tc>
          <w:tcPr>
            <w:tcW w:w="1261" w:type="pct"/>
            <w:noWrap w:val="0"/>
            <w:vAlign w:val="center"/>
          </w:tcPr>
          <w:p>
            <w:pPr>
              <w:pStyle w:val="26"/>
              <w:adjustRightInd/>
              <w:spacing w:line="240" w:lineRule="auto"/>
              <w:ind w:firstLine="0" w:firstLineChars="0"/>
              <w:jc w:val="center"/>
              <w:outlineLvl w:val="9"/>
              <w:rPr>
                <w:bCs/>
                <w:kern w:val="2"/>
                <w:szCs w:val="24"/>
                <w:lang w:val="en-US" w:eastAsia="zh-CN"/>
              </w:rPr>
            </w:pPr>
            <w:r>
              <w:rPr>
                <w:bCs/>
                <w:kern w:val="2"/>
                <w:szCs w:val="24"/>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03" w:type="pct"/>
            <w:vMerge w:val="continue"/>
            <w:noWrap w:val="0"/>
            <w:vAlign w:val="center"/>
          </w:tcPr>
          <w:p>
            <w:pPr>
              <w:adjustRightInd w:val="0"/>
              <w:jc w:val="center"/>
              <w:rPr>
                <w:bCs/>
                <w:sz w:val="24"/>
                <w:szCs w:val="24"/>
              </w:rPr>
            </w:pPr>
          </w:p>
        </w:tc>
        <w:tc>
          <w:tcPr>
            <w:tcW w:w="2136" w:type="pct"/>
            <w:noWrap w:val="0"/>
            <w:vAlign w:val="center"/>
          </w:tcPr>
          <w:p>
            <w:pPr>
              <w:pStyle w:val="26"/>
              <w:adjustRightInd/>
              <w:spacing w:line="240" w:lineRule="auto"/>
              <w:ind w:firstLine="0" w:firstLineChars="0"/>
              <w:jc w:val="center"/>
              <w:outlineLvl w:val="9"/>
              <w:rPr>
                <w:bCs/>
                <w:kern w:val="2"/>
                <w:szCs w:val="24"/>
                <w:lang w:val="en-US" w:eastAsia="zh-CN"/>
              </w:rPr>
            </w:pPr>
            <w:r>
              <w:rPr>
                <w:bCs/>
                <w:kern w:val="2"/>
                <w:szCs w:val="24"/>
                <w:lang w:val="en-US" w:eastAsia="zh-CN"/>
              </w:rPr>
              <w:t>35%≤R</w:t>
            </w:r>
            <w:r>
              <w:rPr>
                <w:bCs/>
                <w:kern w:val="2"/>
                <w:szCs w:val="24"/>
                <w:vertAlign w:val="subscript"/>
                <w:lang w:val="en-US" w:eastAsia="zh-CN"/>
              </w:rPr>
              <w:t>hw</w:t>
            </w:r>
            <w:r>
              <w:rPr>
                <w:bCs/>
                <w:kern w:val="2"/>
                <w:szCs w:val="24"/>
                <w:lang w:val="en-US" w:eastAsia="zh-CN"/>
              </w:rPr>
              <w:t>＜50%</w:t>
            </w:r>
          </w:p>
        </w:tc>
        <w:tc>
          <w:tcPr>
            <w:tcW w:w="1261" w:type="pct"/>
            <w:noWrap w:val="0"/>
            <w:vAlign w:val="center"/>
          </w:tcPr>
          <w:p>
            <w:pPr>
              <w:pStyle w:val="26"/>
              <w:adjustRightInd/>
              <w:spacing w:line="240" w:lineRule="auto"/>
              <w:ind w:firstLine="0" w:firstLineChars="0"/>
              <w:jc w:val="center"/>
              <w:outlineLvl w:val="9"/>
              <w:rPr>
                <w:bCs/>
                <w:kern w:val="2"/>
                <w:szCs w:val="24"/>
                <w:lang w:val="en-US" w:eastAsia="zh-CN"/>
              </w:rPr>
            </w:pPr>
            <w:r>
              <w:rPr>
                <w:bCs/>
                <w:kern w:val="2"/>
                <w:szCs w:val="24"/>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03" w:type="pct"/>
            <w:vMerge w:val="continue"/>
            <w:noWrap w:val="0"/>
            <w:vAlign w:val="center"/>
          </w:tcPr>
          <w:p>
            <w:pPr>
              <w:adjustRightInd w:val="0"/>
              <w:jc w:val="center"/>
              <w:rPr>
                <w:bCs/>
                <w:sz w:val="24"/>
                <w:szCs w:val="24"/>
              </w:rPr>
            </w:pPr>
          </w:p>
        </w:tc>
        <w:tc>
          <w:tcPr>
            <w:tcW w:w="2136" w:type="pct"/>
            <w:noWrap w:val="0"/>
            <w:vAlign w:val="center"/>
          </w:tcPr>
          <w:p>
            <w:pPr>
              <w:pStyle w:val="26"/>
              <w:adjustRightInd/>
              <w:spacing w:line="240" w:lineRule="auto"/>
              <w:ind w:firstLine="0" w:firstLineChars="0"/>
              <w:jc w:val="center"/>
              <w:outlineLvl w:val="9"/>
              <w:rPr>
                <w:bCs/>
                <w:kern w:val="2"/>
                <w:szCs w:val="24"/>
                <w:lang w:val="en-US" w:eastAsia="zh-CN"/>
              </w:rPr>
            </w:pPr>
            <w:r>
              <w:rPr>
                <w:bCs/>
                <w:kern w:val="2"/>
                <w:szCs w:val="24"/>
                <w:lang w:val="en-US" w:eastAsia="zh-CN"/>
              </w:rPr>
              <w:t>50%≤R</w:t>
            </w:r>
            <w:r>
              <w:rPr>
                <w:bCs/>
                <w:kern w:val="2"/>
                <w:szCs w:val="24"/>
                <w:vertAlign w:val="subscript"/>
                <w:lang w:val="en-US" w:eastAsia="zh-CN"/>
              </w:rPr>
              <w:t>hw</w:t>
            </w:r>
            <w:r>
              <w:rPr>
                <w:bCs/>
                <w:kern w:val="2"/>
                <w:szCs w:val="24"/>
                <w:lang w:val="en-US" w:eastAsia="zh-CN"/>
              </w:rPr>
              <w:t>＜65%</w:t>
            </w:r>
          </w:p>
        </w:tc>
        <w:tc>
          <w:tcPr>
            <w:tcW w:w="1261" w:type="pct"/>
            <w:noWrap w:val="0"/>
            <w:vAlign w:val="center"/>
          </w:tcPr>
          <w:p>
            <w:pPr>
              <w:pStyle w:val="26"/>
              <w:adjustRightInd/>
              <w:spacing w:line="240" w:lineRule="auto"/>
              <w:ind w:firstLine="0" w:firstLineChars="0"/>
              <w:jc w:val="center"/>
              <w:outlineLvl w:val="9"/>
              <w:rPr>
                <w:bCs/>
                <w:kern w:val="2"/>
                <w:szCs w:val="24"/>
                <w:lang w:val="en-US" w:eastAsia="zh-CN"/>
              </w:rPr>
            </w:pPr>
            <w:r>
              <w:rPr>
                <w:bCs/>
                <w:kern w:val="2"/>
                <w:szCs w:val="24"/>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03" w:type="pct"/>
            <w:vMerge w:val="continue"/>
            <w:noWrap w:val="0"/>
            <w:vAlign w:val="center"/>
          </w:tcPr>
          <w:p>
            <w:pPr>
              <w:adjustRightInd w:val="0"/>
              <w:jc w:val="center"/>
              <w:rPr>
                <w:bCs/>
                <w:sz w:val="24"/>
                <w:szCs w:val="24"/>
              </w:rPr>
            </w:pPr>
          </w:p>
        </w:tc>
        <w:tc>
          <w:tcPr>
            <w:tcW w:w="2136" w:type="pct"/>
            <w:noWrap w:val="0"/>
            <w:vAlign w:val="center"/>
          </w:tcPr>
          <w:p>
            <w:pPr>
              <w:pStyle w:val="26"/>
              <w:adjustRightInd/>
              <w:spacing w:line="240" w:lineRule="auto"/>
              <w:ind w:firstLine="0" w:firstLineChars="0"/>
              <w:jc w:val="center"/>
              <w:outlineLvl w:val="9"/>
              <w:rPr>
                <w:bCs/>
                <w:kern w:val="2"/>
                <w:szCs w:val="24"/>
                <w:lang w:val="en-US" w:eastAsia="zh-CN"/>
              </w:rPr>
            </w:pPr>
            <w:r>
              <w:rPr>
                <w:bCs/>
                <w:kern w:val="2"/>
                <w:szCs w:val="24"/>
                <w:lang w:val="en-US" w:eastAsia="zh-CN"/>
              </w:rPr>
              <w:t>65%≤R</w:t>
            </w:r>
            <w:r>
              <w:rPr>
                <w:bCs/>
                <w:kern w:val="2"/>
                <w:szCs w:val="24"/>
                <w:vertAlign w:val="subscript"/>
                <w:lang w:val="en-US" w:eastAsia="zh-CN"/>
              </w:rPr>
              <w:t>hw</w:t>
            </w:r>
            <w:r>
              <w:rPr>
                <w:bCs/>
                <w:kern w:val="2"/>
                <w:szCs w:val="24"/>
                <w:lang w:val="en-US" w:eastAsia="zh-CN"/>
              </w:rPr>
              <w:t>＜80%</w:t>
            </w:r>
          </w:p>
        </w:tc>
        <w:tc>
          <w:tcPr>
            <w:tcW w:w="1261" w:type="pct"/>
            <w:noWrap w:val="0"/>
            <w:vAlign w:val="center"/>
          </w:tcPr>
          <w:p>
            <w:pPr>
              <w:pStyle w:val="26"/>
              <w:adjustRightInd/>
              <w:spacing w:line="240" w:lineRule="auto"/>
              <w:ind w:firstLine="0" w:firstLineChars="0"/>
              <w:jc w:val="center"/>
              <w:outlineLvl w:val="9"/>
              <w:rPr>
                <w:bCs/>
                <w:kern w:val="2"/>
                <w:szCs w:val="24"/>
                <w:lang w:val="en-US" w:eastAsia="zh-CN"/>
              </w:rPr>
            </w:pPr>
            <w:r>
              <w:rPr>
                <w:bCs/>
                <w:kern w:val="2"/>
                <w:szCs w:val="24"/>
                <w:lang w:val="en-US" w:eastAsia="zh-CN"/>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03" w:type="pct"/>
            <w:vMerge w:val="continue"/>
            <w:noWrap w:val="0"/>
            <w:vAlign w:val="center"/>
          </w:tcPr>
          <w:p>
            <w:pPr>
              <w:adjustRightInd w:val="0"/>
              <w:jc w:val="center"/>
              <w:rPr>
                <w:bCs/>
                <w:sz w:val="24"/>
                <w:szCs w:val="24"/>
              </w:rPr>
            </w:pPr>
          </w:p>
        </w:tc>
        <w:tc>
          <w:tcPr>
            <w:tcW w:w="2136" w:type="pct"/>
            <w:noWrap w:val="0"/>
            <w:vAlign w:val="center"/>
          </w:tcPr>
          <w:p>
            <w:pPr>
              <w:pStyle w:val="26"/>
              <w:adjustRightInd/>
              <w:spacing w:line="240" w:lineRule="auto"/>
              <w:ind w:firstLine="0" w:firstLineChars="0"/>
              <w:jc w:val="center"/>
              <w:outlineLvl w:val="9"/>
              <w:rPr>
                <w:bCs/>
                <w:kern w:val="2"/>
                <w:szCs w:val="24"/>
                <w:lang w:val="en-US" w:eastAsia="zh-CN"/>
              </w:rPr>
            </w:pPr>
            <w:r>
              <w:rPr>
                <w:bCs/>
                <w:kern w:val="2"/>
                <w:szCs w:val="24"/>
                <w:lang w:val="en-US" w:eastAsia="zh-CN"/>
              </w:rPr>
              <w:t>R</w:t>
            </w:r>
            <w:r>
              <w:rPr>
                <w:bCs/>
                <w:kern w:val="2"/>
                <w:szCs w:val="24"/>
                <w:vertAlign w:val="subscript"/>
                <w:lang w:val="en-US" w:eastAsia="zh-CN"/>
              </w:rPr>
              <w:t>hw</w:t>
            </w:r>
            <w:r>
              <w:rPr>
                <w:kern w:val="2"/>
                <w:szCs w:val="24"/>
                <w:lang w:val="en-US" w:eastAsia="zh-CN"/>
              </w:rPr>
              <w:t>≥</w:t>
            </w:r>
            <w:r>
              <w:rPr>
                <w:bCs/>
                <w:kern w:val="2"/>
                <w:szCs w:val="24"/>
                <w:lang w:val="en-US" w:eastAsia="zh-CN"/>
              </w:rPr>
              <w:t>80%</w:t>
            </w:r>
          </w:p>
        </w:tc>
        <w:tc>
          <w:tcPr>
            <w:tcW w:w="1261" w:type="pct"/>
            <w:noWrap w:val="0"/>
            <w:vAlign w:val="center"/>
          </w:tcPr>
          <w:p>
            <w:pPr>
              <w:pStyle w:val="26"/>
              <w:adjustRightInd/>
              <w:spacing w:line="240" w:lineRule="auto"/>
              <w:ind w:firstLine="0" w:firstLineChars="0"/>
              <w:jc w:val="center"/>
              <w:outlineLvl w:val="9"/>
              <w:rPr>
                <w:bCs/>
                <w:kern w:val="2"/>
                <w:szCs w:val="24"/>
                <w:lang w:val="en-US" w:eastAsia="zh-CN"/>
              </w:rPr>
            </w:pPr>
            <w:r>
              <w:rPr>
                <w:bCs/>
                <w:kern w:val="2"/>
                <w:szCs w:val="24"/>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03" w:type="pct"/>
            <w:vMerge w:val="restart"/>
            <w:noWrap w:val="0"/>
            <w:vAlign w:val="center"/>
          </w:tcPr>
          <w:p>
            <w:pPr>
              <w:adjustRightInd w:val="0"/>
              <w:jc w:val="center"/>
              <w:rPr>
                <w:bCs/>
                <w:sz w:val="24"/>
                <w:szCs w:val="24"/>
              </w:rPr>
            </w:pPr>
            <w:r>
              <w:rPr>
                <w:bCs/>
                <w:sz w:val="24"/>
                <w:szCs w:val="24"/>
              </w:rPr>
              <w:t>由可再生能源提供的空调用冷量和热量比例</w:t>
            </w:r>
          </w:p>
          <w:p>
            <w:pPr>
              <w:adjustRightInd w:val="0"/>
              <w:jc w:val="center"/>
              <w:rPr>
                <w:bCs/>
                <w:sz w:val="24"/>
                <w:szCs w:val="24"/>
              </w:rPr>
            </w:pPr>
            <w:r>
              <w:rPr>
                <w:sz w:val="24"/>
                <w:szCs w:val="24"/>
              </w:rPr>
              <w:t>R</w:t>
            </w:r>
            <w:r>
              <w:rPr>
                <w:sz w:val="24"/>
                <w:szCs w:val="24"/>
                <w:vertAlign w:val="subscript"/>
              </w:rPr>
              <w:t>ch</w:t>
            </w:r>
          </w:p>
        </w:tc>
        <w:tc>
          <w:tcPr>
            <w:tcW w:w="2136" w:type="pct"/>
            <w:noWrap w:val="0"/>
            <w:vAlign w:val="center"/>
          </w:tcPr>
          <w:p>
            <w:pPr>
              <w:pStyle w:val="26"/>
              <w:adjustRightInd/>
              <w:spacing w:line="240" w:lineRule="auto"/>
              <w:ind w:firstLine="0" w:firstLineChars="0"/>
              <w:jc w:val="center"/>
              <w:outlineLvl w:val="9"/>
              <w:rPr>
                <w:bCs/>
                <w:kern w:val="2"/>
                <w:szCs w:val="24"/>
                <w:lang w:val="en-US" w:eastAsia="zh-CN"/>
              </w:rPr>
            </w:pPr>
            <w:r>
              <w:rPr>
                <w:bCs/>
                <w:kern w:val="2"/>
                <w:szCs w:val="24"/>
                <w:lang w:val="en-US" w:eastAsia="zh-CN"/>
              </w:rPr>
              <w:t>20%≤R</w:t>
            </w:r>
            <w:r>
              <w:rPr>
                <w:bCs/>
                <w:kern w:val="2"/>
                <w:szCs w:val="24"/>
                <w:vertAlign w:val="subscript"/>
                <w:lang w:val="en-US" w:eastAsia="zh-CN"/>
              </w:rPr>
              <w:t>ch</w:t>
            </w:r>
            <w:r>
              <w:rPr>
                <w:bCs/>
                <w:kern w:val="2"/>
                <w:szCs w:val="24"/>
                <w:lang w:val="en-US" w:eastAsia="zh-CN"/>
              </w:rPr>
              <w:t>＜35%</w:t>
            </w:r>
          </w:p>
        </w:tc>
        <w:tc>
          <w:tcPr>
            <w:tcW w:w="1261" w:type="pct"/>
            <w:noWrap w:val="0"/>
            <w:vAlign w:val="center"/>
          </w:tcPr>
          <w:p>
            <w:pPr>
              <w:pStyle w:val="26"/>
              <w:adjustRightInd/>
              <w:spacing w:line="240" w:lineRule="auto"/>
              <w:ind w:firstLine="0" w:firstLineChars="0"/>
              <w:jc w:val="center"/>
              <w:outlineLvl w:val="9"/>
              <w:rPr>
                <w:bCs/>
                <w:kern w:val="2"/>
                <w:szCs w:val="24"/>
                <w:lang w:val="en-US" w:eastAsia="zh-CN"/>
              </w:rPr>
            </w:pPr>
            <w:r>
              <w:rPr>
                <w:bCs/>
                <w:kern w:val="2"/>
                <w:szCs w:val="24"/>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03" w:type="pct"/>
            <w:vMerge w:val="continue"/>
            <w:noWrap w:val="0"/>
            <w:vAlign w:val="center"/>
          </w:tcPr>
          <w:p>
            <w:pPr>
              <w:adjustRightInd w:val="0"/>
              <w:jc w:val="center"/>
              <w:rPr>
                <w:bCs/>
                <w:sz w:val="24"/>
                <w:szCs w:val="24"/>
              </w:rPr>
            </w:pPr>
          </w:p>
        </w:tc>
        <w:tc>
          <w:tcPr>
            <w:tcW w:w="2136" w:type="pct"/>
            <w:noWrap w:val="0"/>
            <w:vAlign w:val="center"/>
          </w:tcPr>
          <w:p>
            <w:pPr>
              <w:pStyle w:val="26"/>
              <w:adjustRightInd/>
              <w:spacing w:line="240" w:lineRule="auto"/>
              <w:ind w:firstLine="0" w:firstLineChars="0"/>
              <w:jc w:val="center"/>
              <w:outlineLvl w:val="9"/>
              <w:rPr>
                <w:bCs/>
                <w:kern w:val="2"/>
                <w:szCs w:val="24"/>
                <w:lang w:val="en-US" w:eastAsia="zh-CN"/>
              </w:rPr>
            </w:pPr>
            <w:r>
              <w:rPr>
                <w:bCs/>
                <w:kern w:val="2"/>
                <w:szCs w:val="24"/>
                <w:lang w:val="en-US" w:eastAsia="zh-CN"/>
              </w:rPr>
              <w:t>35%≤R</w:t>
            </w:r>
            <w:r>
              <w:rPr>
                <w:bCs/>
                <w:kern w:val="2"/>
                <w:szCs w:val="24"/>
                <w:vertAlign w:val="subscript"/>
                <w:lang w:val="en-US" w:eastAsia="zh-CN"/>
              </w:rPr>
              <w:t>ch</w:t>
            </w:r>
            <w:r>
              <w:rPr>
                <w:bCs/>
                <w:kern w:val="2"/>
                <w:szCs w:val="24"/>
                <w:lang w:val="en-US" w:eastAsia="zh-CN"/>
              </w:rPr>
              <w:t>＜50%</w:t>
            </w:r>
          </w:p>
        </w:tc>
        <w:tc>
          <w:tcPr>
            <w:tcW w:w="1261" w:type="pct"/>
            <w:noWrap w:val="0"/>
            <w:vAlign w:val="center"/>
          </w:tcPr>
          <w:p>
            <w:pPr>
              <w:pStyle w:val="26"/>
              <w:adjustRightInd/>
              <w:spacing w:line="240" w:lineRule="auto"/>
              <w:ind w:firstLine="0" w:firstLineChars="0"/>
              <w:jc w:val="center"/>
              <w:outlineLvl w:val="9"/>
              <w:rPr>
                <w:bCs/>
                <w:kern w:val="2"/>
                <w:szCs w:val="24"/>
                <w:lang w:val="en-US" w:eastAsia="zh-CN"/>
              </w:rPr>
            </w:pPr>
            <w:r>
              <w:rPr>
                <w:bCs/>
                <w:kern w:val="2"/>
                <w:szCs w:val="24"/>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03" w:type="pct"/>
            <w:vMerge w:val="continue"/>
            <w:noWrap w:val="0"/>
            <w:vAlign w:val="center"/>
          </w:tcPr>
          <w:p>
            <w:pPr>
              <w:adjustRightInd w:val="0"/>
              <w:jc w:val="center"/>
              <w:rPr>
                <w:bCs/>
                <w:sz w:val="24"/>
                <w:szCs w:val="24"/>
              </w:rPr>
            </w:pPr>
          </w:p>
        </w:tc>
        <w:tc>
          <w:tcPr>
            <w:tcW w:w="2136" w:type="pct"/>
            <w:noWrap w:val="0"/>
            <w:vAlign w:val="center"/>
          </w:tcPr>
          <w:p>
            <w:pPr>
              <w:pStyle w:val="26"/>
              <w:adjustRightInd/>
              <w:spacing w:line="240" w:lineRule="auto"/>
              <w:ind w:firstLine="0" w:firstLineChars="0"/>
              <w:jc w:val="center"/>
              <w:outlineLvl w:val="9"/>
              <w:rPr>
                <w:bCs/>
                <w:kern w:val="2"/>
                <w:szCs w:val="24"/>
                <w:lang w:val="en-US" w:eastAsia="zh-CN"/>
              </w:rPr>
            </w:pPr>
            <w:r>
              <w:rPr>
                <w:bCs/>
                <w:kern w:val="2"/>
                <w:szCs w:val="24"/>
                <w:lang w:val="en-US" w:eastAsia="zh-CN"/>
              </w:rPr>
              <w:t>50%≤R</w:t>
            </w:r>
            <w:r>
              <w:rPr>
                <w:bCs/>
                <w:kern w:val="2"/>
                <w:szCs w:val="24"/>
                <w:vertAlign w:val="subscript"/>
                <w:lang w:val="en-US" w:eastAsia="zh-CN"/>
              </w:rPr>
              <w:t>ch</w:t>
            </w:r>
            <w:r>
              <w:rPr>
                <w:bCs/>
                <w:kern w:val="2"/>
                <w:szCs w:val="24"/>
                <w:lang w:val="en-US" w:eastAsia="zh-CN"/>
              </w:rPr>
              <w:t>＜65%</w:t>
            </w:r>
          </w:p>
        </w:tc>
        <w:tc>
          <w:tcPr>
            <w:tcW w:w="1261" w:type="pct"/>
            <w:noWrap w:val="0"/>
            <w:vAlign w:val="center"/>
          </w:tcPr>
          <w:p>
            <w:pPr>
              <w:pStyle w:val="26"/>
              <w:adjustRightInd/>
              <w:spacing w:line="240" w:lineRule="auto"/>
              <w:ind w:firstLine="0" w:firstLineChars="0"/>
              <w:jc w:val="center"/>
              <w:outlineLvl w:val="9"/>
              <w:rPr>
                <w:bCs/>
                <w:kern w:val="2"/>
                <w:szCs w:val="24"/>
                <w:lang w:val="en-US" w:eastAsia="zh-CN"/>
              </w:rPr>
            </w:pPr>
            <w:r>
              <w:rPr>
                <w:bCs/>
                <w:kern w:val="2"/>
                <w:szCs w:val="24"/>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03" w:type="pct"/>
            <w:vMerge w:val="continue"/>
            <w:noWrap w:val="0"/>
            <w:vAlign w:val="center"/>
          </w:tcPr>
          <w:p>
            <w:pPr>
              <w:adjustRightInd w:val="0"/>
              <w:jc w:val="center"/>
              <w:rPr>
                <w:bCs/>
                <w:sz w:val="24"/>
                <w:szCs w:val="24"/>
              </w:rPr>
            </w:pPr>
          </w:p>
        </w:tc>
        <w:tc>
          <w:tcPr>
            <w:tcW w:w="2136" w:type="pct"/>
            <w:noWrap w:val="0"/>
            <w:vAlign w:val="center"/>
          </w:tcPr>
          <w:p>
            <w:pPr>
              <w:pStyle w:val="26"/>
              <w:adjustRightInd/>
              <w:spacing w:line="240" w:lineRule="auto"/>
              <w:ind w:firstLine="0" w:firstLineChars="0"/>
              <w:jc w:val="center"/>
              <w:outlineLvl w:val="9"/>
              <w:rPr>
                <w:bCs/>
                <w:kern w:val="2"/>
                <w:szCs w:val="24"/>
                <w:lang w:val="en-US" w:eastAsia="zh-CN"/>
              </w:rPr>
            </w:pPr>
            <w:r>
              <w:rPr>
                <w:bCs/>
                <w:kern w:val="2"/>
                <w:szCs w:val="24"/>
                <w:lang w:val="en-US" w:eastAsia="zh-CN"/>
              </w:rPr>
              <w:t>65%≤R</w:t>
            </w:r>
            <w:r>
              <w:rPr>
                <w:bCs/>
                <w:kern w:val="2"/>
                <w:szCs w:val="24"/>
                <w:vertAlign w:val="subscript"/>
                <w:lang w:val="en-US" w:eastAsia="zh-CN"/>
              </w:rPr>
              <w:t>ch</w:t>
            </w:r>
            <w:r>
              <w:rPr>
                <w:bCs/>
                <w:kern w:val="2"/>
                <w:szCs w:val="24"/>
                <w:lang w:val="en-US" w:eastAsia="zh-CN"/>
              </w:rPr>
              <w:t>＜80%</w:t>
            </w:r>
          </w:p>
        </w:tc>
        <w:tc>
          <w:tcPr>
            <w:tcW w:w="1261" w:type="pct"/>
            <w:noWrap w:val="0"/>
            <w:vAlign w:val="center"/>
          </w:tcPr>
          <w:p>
            <w:pPr>
              <w:pStyle w:val="26"/>
              <w:adjustRightInd/>
              <w:spacing w:line="240" w:lineRule="auto"/>
              <w:ind w:firstLine="0" w:firstLineChars="0"/>
              <w:jc w:val="center"/>
              <w:outlineLvl w:val="9"/>
              <w:rPr>
                <w:bCs/>
                <w:kern w:val="2"/>
                <w:szCs w:val="24"/>
                <w:lang w:val="en-US" w:eastAsia="zh-CN"/>
              </w:rPr>
            </w:pPr>
            <w:r>
              <w:rPr>
                <w:bCs/>
                <w:kern w:val="2"/>
                <w:szCs w:val="24"/>
                <w:lang w:val="en-US" w:eastAsia="zh-CN"/>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03" w:type="pct"/>
            <w:vMerge w:val="continue"/>
            <w:noWrap w:val="0"/>
            <w:vAlign w:val="center"/>
          </w:tcPr>
          <w:p>
            <w:pPr>
              <w:adjustRightInd w:val="0"/>
              <w:jc w:val="center"/>
              <w:rPr>
                <w:bCs/>
                <w:sz w:val="24"/>
                <w:szCs w:val="24"/>
              </w:rPr>
            </w:pPr>
          </w:p>
        </w:tc>
        <w:tc>
          <w:tcPr>
            <w:tcW w:w="2136" w:type="pct"/>
            <w:noWrap w:val="0"/>
            <w:vAlign w:val="center"/>
          </w:tcPr>
          <w:p>
            <w:pPr>
              <w:pStyle w:val="26"/>
              <w:adjustRightInd/>
              <w:spacing w:line="240" w:lineRule="auto"/>
              <w:ind w:firstLine="0" w:firstLineChars="0"/>
              <w:jc w:val="center"/>
              <w:outlineLvl w:val="9"/>
              <w:rPr>
                <w:bCs/>
                <w:kern w:val="2"/>
                <w:szCs w:val="24"/>
                <w:lang w:val="en-US" w:eastAsia="zh-CN"/>
              </w:rPr>
            </w:pPr>
            <w:r>
              <w:rPr>
                <w:bCs/>
                <w:kern w:val="2"/>
                <w:szCs w:val="24"/>
                <w:lang w:val="en-US" w:eastAsia="zh-CN"/>
              </w:rPr>
              <w:t>R</w:t>
            </w:r>
            <w:r>
              <w:rPr>
                <w:bCs/>
                <w:kern w:val="2"/>
                <w:szCs w:val="24"/>
                <w:vertAlign w:val="subscript"/>
                <w:lang w:val="en-US" w:eastAsia="zh-CN"/>
              </w:rPr>
              <w:t>ch</w:t>
            </w:r>
            <w:r>
              <w:rPr>
                <w:kern w:val="2"/>
                <w:szCs w:val="24"/>
                <w:lang w:val="en-US" w:eastAsia="zh-CN"/>
              </w:rPr>
              <w:t>≥</w:t>
            </w:r>
            <w:r>
              <w:rPr>
                <w:bCs/>
                <w:kern w:val="2"/>
                <w:szCs w:val="24"/>
                <w:lang w:val="en-US" w:eastAsia="zh-CN"/>
              </w:rPr>
              <w:t>80%</w:t>
            </w:r>
          </w:p>
        </w:tc>
        <w:tc>
          <w:tcPr>
            <w:tcW w:w="1261" w:type="pct"/>
            <w:noWrap w:val="0"/>
            <w:vAlign w:val="center"/>
          </w:tcPr>
          <w:p>
            <w:pPr>
              <w:pStyle w:val="26"/>
              <w:adjustRightInd/>
              <w:spacing w:line="240" w:lineRule="auto"/>
              <w:ind w:firstLine="0" w:firstLineChars="0"/>
              <w:jc w:val="center"/>
              <w:outlineLvl w:val="9"/>
              <w:rPr>
                <w:bCs/>
                <w:kern w:val="2"/>
                <w:szCs w:val="24"/>
                <w:lang w:val="en-US" w:eastAsia="zh-CN"/>
              </w:rPr>
            </w:pPr>
            <w:r>
              <w:rPr>
                <w:bCs/>
                <w:kern w:val="2"/>
                <w:szCs w:val="24"/>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03" w:type="pct"/>
            <w:vMerge w:val="restart"/>
            <w:noWrap w:val="0"/>
            <w:vAlign w:val="center"/>
          </w:tcPr>
          <w:p>
            <w:pPr>
              <w:adjustRightInd w:val="0"/>
              <w:jc w:val="center"/>
              <w:rPr>
                <w:bCs/>
                <w:sz w:val="24"/>
                <w:szCs w:val="24"/>
              </w:rPr>
            </w:pPr>
            <w:r>
              <w:rPr>
                <w:bCs/>
                <w:sz w:val="24"/>
                <w:szCs w:val="24"/>
              </w:rPr>
              <w:t>由可再生能源提供电量比例</w:t>
            </w:r>
            <w:r>
              <w:rPr>
                <w:sz w:val="24"/>
                <w:szCs w:val="24"/>
              </w:rPr>
              <w:t>R</w:t>
            </w:r>
            <w:r>
              <w:rPr>
                <w:sz w:val="24"/>
                <w:szCs w:val="24"/>
                <w:vertAlign w:val="subscript"/>
              </w:rPr>
              <w:t>e</w:t>
            </w:r>
          </w:p>
        </w:tc>
        <w:tc>
          <w:tcPr>
            <w:tcW w:w="2136" w:type="pct"/>
            <w:noWrap w:val="0"/>
            <w:vAlign w:val="center"/>
          </w:tcPr>
          <w:p>
            <w:pPr>
              <w:pStyle w:val="26"/>
              <w:adjustRightInd/>
              <w:spacing w:line="240" w:lineRule="auto"/>
              <w:ind w:firstLine="0" w:firstLineChars="0"/>
              <w:jc w:val="center"/>
              <w:outlineLvl w:val="9"/>
              <w:rPr>
                <w:bCs/>
                <w:kern w:val="2"/>
                <w:szCs w:val="24"/>
                <w:lang w:val="en-US" w:eastAsia="zh-CN"/>
              </w:rPr>
            </w:pPr>
            <w:r>
              <w:rPr>
                <w:bCs/>
                <w:kern w:val="2"/>
                <w:szCs w:val="24"/>
                <w:lang w:val="en-US" w:eastAsia="zh-CN"/>
              </w:rPr>
              <w:t>0.5%≤R</w:t>
            </w:r>
            <w:r>
              <w:rPr>
                <w:bCs/>
                <w:kern w:val="2"/>
                <w:szCs w:val="24"/>
                <w:vertAlign w:val="subscript"/>
                <w:lang w:val="en-US" w:eastAsia="zh-CN"/>
              </w:rPr>
              <w:t>e</w:t>
            </w:r>
            <w:r>
              <w:rPr>
                <w:bCs/>
                <w:kern w:val="2"/>
                <w:szCs w:val="24"/>
                <w:lang w:val="en-US" w:eastAsia="zh-CN"/>
              </w:rPr>
              <w:t>＜1.0%</w:t>
            </w:r>
          </w:p>
        </w:tc>
        <w:tc>
          <w:tcPr>
            <w:tcW w:w="1261" w:type="pct"/>
            <w:noWrap w:val="0"/>
            <w:vAlign w:val="center"/>
          </w:tcPr>
          <w:p>
            <w:pPr>
              <w:pStyle w:val="26"/>
              <w:adjustRightInd/>
              <w:spacing w:line="240" w:lineRule="auto"/>
              <w:ind w:firstLine="0" w:firstLineChars="0"/>
              <w:jc w:val="center"/>
              <w:outlineLvl w:val="9"/>
              <w:rPr>
                <w:bCs/>
                <w:kern w:val="2"/>
                <w:szCs w:val="24"/>
                <w:lang w:val="en-US" w:eastAsia="zh-CN"/>
              </w:rPr>
            </w:pPr>
            <w:r>
              <w:rPr>
                <w:bCs/>
                <w:kern w:val="2"/>
                <w:szCs w:val="24"/>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03" w:type="pct"/>
            <w:vMerge w:val="continue"/>
            <w:noWrap w:val="0"/>
            <w:vAlign w:val="center"/>
          </w:tcPr>
          <w:p>
            <w:pPr>
              <w:pStyle w:val="26"/>
              <w:adjustRightInd/>
              <w:spacing w:line="240" w:lineRule="auto"/>
              <w:ind w:firstLine="0" w:firstLineChars="0"/>
              <w:outlineLvl w:val="9"/>
              <w:rPr>
                <w:bCs/>
                <w:kern w:val="2"/>
                <w:szCs w:val="24"/>
                <w:lang w:val="en-US" w:eastAsia="zh-CN"/>
              </w:rPr>
            </w:pPr>
          </w:p>
        </w:tc>
        <w:tc>
          <w:tcPr>
            <w:tcW w:w="2136" w:type="pct"/>
            <w:noWrap w:val="0"/>
            <w:vAlign w:val="center"/>
          </w:tcPr>
          <w:p>
            <w:pPr>
              <w:pStyle w:val="26"/>
              <w:adjustRightInd/>
              <w:spacing w:line="240" w:lineRule="auto"/>
              <w:ind w:firstLine="0" w:firstLineChars="0"/>
              <w:jc w:val="center"/>
              <w:outlineLvl w:val="9"/>
              <w:rPr>
                <w:bCs/>
                <w:kern w:val="2"/>
                <w:szCs w:val="24"/>
                <w:lang w:val="en-US" w:eastAsia="zh-CN"/>
              </w:rPr>
            </w:pPr>
            <w:r>
              <w:rPr>
                <w:bCs/>
                <w:kern w:val="2"/>
                <w:szCs w:val="24"/>
                <w:lang w:val="en-US" w:eastAsia="zh-CN"/>
              </w:rPr>
              <w:t>1.0%≤R</w:t>
            </w:r>
            <w:r>
              <w:rPr>
                <w:bCs/>
                <w:kern w:val="2"/>
                <w:szCs w:val="24"/>
                <w:vertAlign w:val="subscript"/>
                <w:lang w:val="en-US" w:eastAsia="zh-CN"/>
              </w:rPr>
              <w:t>e</w:t>
            </w:r>
            <w:r>
              <w:rPr>
                <w:bCs/>
                <w:kern w:val="2"/>
                <w:szCs w:val="24"/>
                <w:lang w:val="en-US" w:eastAsia="zh-CN"/>
              </w:rPr>
              <w:t>＜2.0%</w:t>
            </w:r>
          </w:p>
        </w:tc>
        <w:tc>
          <w:tcPr>
            <w:tcW w:w="1261" w:type="pct"/>
            <w:noWrap w:val="0"/>
            <w:vAlign w:val="center"/>
          </w:tcPr>
          <w:p>
            <w:pPr>
              <w:pStyle w:val="26"/>
              <w:adjustRightInd/>
              <w:spacing w:line="240" w:lineRule="auto"/>
              <w:ind w:firstLine="0" w:firstLineChars="0"/>
              <w:jc w:val="center"/>
              <w:outlineLvl w:val="9"/>
              <w:rPr>
                <w:bCs/>
                <w:kern w:val="2"/>
                <w:szCs w:val="24"/>
                <w:lang w:val="en-US" w:eastAsia="zh-CN"/>
              </w:rPr>
            </w:pPr>
            <w:r>
              <w:rPr>
                <w:bCs/>
                <w:kern w:val="2"/>
                <w:szCs w:val="24"/>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03" w:type="pct"/>
            <w:vMerge w:val="continue"/>
            <w:noWrap w:val="0"/>
            <w:vAlign w:val="center"/>
          </w:tcPr>
          <w:p>
            <w:pPr>
              <w:pStyle w:val="26"/>
              <w:adjustRightInd/>
              <w:spacing w:line="240" w:lineRule="auto"/>
              <w:ind w:firstLine="0" w:firstLineChars="0"/>
              <w:outlineLvl w:val="9"/>
              <w:rPr>
                <w:bCs/>
                <w:kern w:val="2"/>
                <w:szCs w:val="24"/>
                <w:lang w:val="en-US" w:eastAsia="zh-CN"/>
              </w:rPr>
            </w:pPr>
          </w:p>
        </w:tc>
        <w:tc>
          <w:tcPr>
            <w:tcW w:w="2136" w:type="pct"/>
            <w:noWrap w:val="0"/>
            <w:vAlign w:val="center"/>
          </w:tcPr>
          <w:p>
            <w:pPr>
              <w:pStyle w:val="26"/>
              <w:adjustRightInd/>
              <w:spacing w:line="240" w:lineRule="auto"/>
              <w:ind w:firstLine="0" w:firstLineChars="0"/>
              <w:jc w:val="center"/>
              <w:outlineLvl w:val="9"/>
              <w:rPr>
                <w:bCs/>
                <w:kern w:val="2"/>
                <w:szCs w:val="24"/>
                <w:lang w:val="en-US" w:eastAsia="zh-CN"/>
              </w:rPr>
            </w:pPr>
            <w:r>
              <w:rPr>
                <w:bCs/>
                <w:kern w:val="2"/>
                <w:szCs w:val="24"/>
                <w:lang w:val="en-US" w:eastAsia="zh-CN"/>
              </w:rPr>
              <w:t>2.0%≤R</w:t>
            </w:r>
            <w:r>
              <w:rPr>
                <w:bCs/>
                <w:kern w:val="2"/>
                <w:szCs w:val="24"/>
                <w:vertAlign w:val="subscript"/>
                <w:lang w:val="en-US" w:eastAsia="zh-CN"/>
              </w:rPr>
              <w:t>e</w:t>
            </w:r>
            <w:r>
              <w:rPr>
                <w:bCs/>
                <w:kern w:val="2"/>
                <w:szCs w:val="24"/>
                <w:lang w:val="en-US" w:eastAsia="zh-CN"/>
              </w:rPr>
              <w:t>＜3.0%</w:t>
            </w:r>
          </w:p>
        </w:tc>
        <w:tc>
          <w:tcPr>
            <w:tcW w:w="1261" w:type="pct"/>
            <w:noWrap w:val="0"/>
            <w:vAlign w:val="center"/>
          </w:tcPr>
          <w:p>
            <w:pPr>
              <w:pStyle w:val="26"/>
              <w:adjustRightInd/>
              <w:spacing w:line="240" w:lineRule="auto"/>
              <w:ind w:firstLine="0" w:firstLineChars="0"/>
              <w:jc w:val="center"/>
              <w:outlineLvl w:val="9"/>
              <w:rPr>
                <w:bCs/>
                <w:kern w:val="2"/>
                <w:szCs w:val="24"/>
                <w:lang w:val="en-US" w:eastAsia="zh-CN"/>
              </w:rPr>
            </w:pPr>
            <w:r>
              <w:rPr>
                <w:bCs/>
                <w:kern w:val="2"/>
                <w:szCs w:val="24"/>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03" w:type="pct"/>
            <w:vMerge w:val="continue"/>
            <w:noWrap w:val="0"/>
            <w:vAlign w:val="center"/>
          </w:tcPr>
          <w:p>
            <w:pPr>
              <w:pStyle w:val="26"/>
              <w:adjustRightInd/>
              <w:spacing w:line="240" w:lineRule="auto"/>
              <w:ind w:firstLine="0" w:firstLineChars="0"/>
              <w:outlineLvl w:val="9"/>
              <w:rPr>
                <w:bCs/>
                <w:kern w:val="2"/>
                <w:szCs w:val="24"/>
                <w:lang w:val="en-US" w:eastAsia="zh-CN"/>
              </w:rPr>
            </w:pPr>
          </w:p>
        </w:tc>
        <w:tc>
          <w:tcPr>
            <w:tcW w:w="2136" w:type="pct"/>
            <w:noWrap w:val="0"/>
            <w:vAlign w:val="center"/>
          </w:tcPr>
          <w:p>
            <w:pPr>
              <w:pStyle w:val="26"/>
              <w:adjustRightInd/>
              <w:spacing w:line="240" w:lineRule="auto"/>
              <w:ind w:firstLine="0" w:firstLineChars="0"/>
              <w:jc w:val="center"/>
              <w:outlineLvl w:val="9"/>
              <w:rPr>
                <w:bCs/>
                <w:kern w:val="2"/>
                <w:szCs w:val="24"/>
                <w:lang w:val="en-US" w:eastAsia="zh-CN"/>
              </w:rPr>
            </w:pPr>
            <w:r>
              <w:rPr>
                <w:bCs/>
                <w:kern w:val="2"/>
                <w:szCs w:val="24"/>
                <w:lang w:val="en-US" w:eastAsia="zh-CN"/>
              </w:rPr>
              <w:t>3.0%≤R</w:t>
            </w:r>
            <w:r>
              <w:rPr>
                <w:bCs/>
                <w:kern w:val="2"/>
                <w:szCs w:val="24"/>
                <w:vertAlign w:val="subscript"/>
                <w:lang w:val="en-US" w:eastAsia="zh-CN"/>
              </w:rPr>
              <w:t>e</w:t>
            </w:r>
            <w:r>
              <w:rPr>
                <w:bCs/>
                <w:kern w:val="2"/>
                <w:szCs w:val="24"/>
                <w:lang w:val="en-US" w:eastAsia="zh-CN"/>
              </w:rPr>
              <w:t>＜4.0%</w:t>
            </w:r>
          </w:p>
        </w:tc>
        <w:tc>
          <w:tcPr>
            <w:tcW w:w="1261" w:type="pct"/>
            <w:noWrap w:val="0"/>
            <w:vAlign w:val="center"/>
          </w:tcPr>
          <w:p>
            <w:pPr>
              <w:pStyle w:val="26"/>
              <w:adjustRightInd/>
              <w:spacing w:line="240" w:lineRule="auto"/>
              <w:ind w:firstLine="0" w:firstLineChars="0"/>
              <w:jc w:val="center"/>
              <w:outlineLvl w:val="9"/>
              <w:rPr>
                <w:bCs/>
                <w:kern w:val="2"/>
                <w:szCs w:val="24"/>
                <w:lang w:val="en-US" w:eastAsia="zh-CN"/>
              </w:rPr>
            </w:pPr>
            <w:r>
              <w:rPr>
                <w:bCs/>
                <w:kern w:val="2"/>
                <w:szCs w:val="24"/>
                <w:lang w:val="en-US" w:eastAsia="zh-CN"/>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03" w:type="pct"/>
            <w:vMerge w:val="continue"/>
            <w:noWrap w:val="0"/>
            <w:vAlign w:val="center"/>
          </w:tcPr>
          <w:p>
            <w:pPr>
              <w:pStyle w:val="26"/>
              <w:adjustRightInd/>
              <w:spacing w:line="240" w:lineRule="auto"/>
              <w:ind w:firstLine="0" w:firstLineChars="0"/>
              <w:outlineLvl w:val="9"/>
              <w:rPr>
                <w:bCs/>
                <w:kern w:val="2"/>
                <w:szCs w:val="24"/>
                <w:lang w:val="en-US" w:eastAsia="zh-CN"/>
              </w:rPr>
            </w:pPr>
          </w:p>
        </w:tc>
        <w:tc>
          <w:tcPr>
            <w:tcW w:w="2136" w:type="pct"/>
            <w:noWrap w:val="0"/>
            <w:vAlign w:val="center"/>
          </w:tcPr>
          <w:p>
            <w:pPr>
              <w:pStyle w:val="26"/>
              <w:adjustRightInd/>
              <w:spacing w:line="240" w:lineRule="auto"/>
              <w:ind w:firstLine="0" w:firstLineChars="0"/>
              <w:jc w:val="center"/>
              <w:outlineLvl w:val="9"/>
              <w:rPr>
                <w:bCs/>
                <w:kern w:val="2"/>
                <w:szCs w:val="24"/>
                <w:lang w:val="en-US" w:eastAsia="zh-CN"/>
              </w:rPr>
            </w:pPr>
            <w:r>
              <w:rPr>
                <w:bCs/>
                <w:kern w:val="2"/>
                <w:szCs w:val="24"/>
                <w:lang w:val="en-US" w:eastAsia="zh-CN"/>
              </w:rPr>
              <w:t>R</w:t>
            </w:r>
            <w:r>
              <w:rPr>
                <w:bCs/>
                <w:kern w:val="2"/>
                <w:szCs w:val="24"/>
                <w:vertAlign w:val="subscript"/>
                <w:lang w:val="en-US" w:eastAsia="zh-CN"/>
              </w:rPr>
              <w:t>e</w:t>
            </w:r>
            <w:r>
              <w:rPr>
                <w:kern w:val="2"/>
                <w:szCs w:val="24"/>
                <w:lang w:val="en-US" w:eastAsia="zh-CN"/>
              </w:rPr>
              <w:t>≥</w:t>
            </w:r>
            <w:r>
              <w:rPr>
                <w:bCs/>
                <w:kern w:val="2"/>
                <w:szCs w:val="24"/>
                <w:lang w:val="en-US" w:eastAsia="zh-CN"/>
              </w:rPr>
              <w:t>4.0%</w:t>
            </w:r>
          </w:p>
        </w:tc>
        <w:tc>
          <w:tcPr>
            <w:tcW w:w="1261" w:type="pct"/>
            <w:noWrap w:val="0"/>
            <w:vAlign w:val="center"/>
          </w:tcPr>
          <w:p>
            <w:pPr>
              <w:pStyle w:val="26"/>
              <w:adjustRightInd/>
              <w:spacing w:line="240" w:lineRule="auto"/>
              <w:ind w:firstLine="0" w:firstLineChars="0"/>
              <w:jc w:val="center"/>
              <w:outlineLvl w:val="9"/>
              <w:rPr>
                <w:bCs/>
                <w:kern w:val="2"/>
                <w:szCs w:val="24"/>
                <w:lang w:val="en-US" w:eastAsia="zh-CN"/>
              </w:rPr>
            </w:pPr>
            <w:r>
              <w:rPr>
                <w:bCs/>
                <w:kern w:val="2"/>
                <w:szCs w:val="24"/>
                <w:lang w:val="en-US" w:eastAsia="zh-CN"/>
              </w:rPr>
              <w:t>10</w:t>
            </w:r>
          </w:p>
        </w:tc>
      </w:tr>
    </w:tbl>
    <w:p>
      <w:pPr>
        <w:rPr>
          <w:rFonts w:hint="eastAsia"/>
        </w:rPr>
      </w:pPr>
    </w:p>
    <w:p>
      <w:pPr>
        <w:rPr>
          <w:rFonts w:hint="eastAsia"/>
        </w:rPr>
      </w:pPr>
    </w:p>
    <w:p>
      <w:pPr>
        <w:spacing w:line="360" w:lineRule="auto"/>
        <w:ind w:left="435" w:leftChars="150" w:hanging="120" w:hangingChars="50"/>
        <w:jc w:val="center"/>
        <w:rPr>
          <w:rFonts w:eastAsia="仿宋"/>
          <w:b/>
          <w:sz w:val="24"/>
          <w:szCs w:val="24"/>
        </w:rPr>
      </w:pPr>
      <w:r>
        <w:rPr>
          <w:rFonts w:hint="eastAsia" w:eastAsia="仿宋"/>
          <w:b/>
          <w:sz w:val="24"/>
          <w:szCs w:val="24"/>
        </w:rPr>
        <w:t>Ⅲ 节能与能源利用</w:t>
      </w:r>
    </w:p>
    <w:p>
      <w:pPr>
        <w:spacing w:line="360" w:lineRule="auto"/>
        <w:outlineLvl w:val="2"/>
        <w:rPr>
          <w:b/>
          <w:sz w:val="24"/>
          <w:szCs w:val="24"/>
        </w:rPr>
      </w:pPr>
      <w:r>
        <w:rPr>
          <w:rFonts w:hint="eastAsia"/>
          <w:b/>
          <w:sz w:val="24"/>
          <w:szCs w:val="24"/>
        </w:rPr>
        <w:t>7</w:t>
      </w:r>
      <w:r>
        <w:rPr>
          <w:b/>
          <w:sz w:val="24"/>
          <w:szCs w:val="24"/>
        </w:rPr>
        <w:t>.2.</w:t>
      </w:r>
      <w:r>
        <w:rPr>
          <w:rFonts w:hint="eastAsia"/>
          <w:b/>
          <w:sz w:val="24"/>
          <w:szCs w:val="24"/>
        </w:rPr>
        <w:t xml:space="preserve">10  </w:t>
      </w:r>
      <w:r>
        <w:rPr>
          <w:rFonts w:hint="eastAsia"/>
          <w:sz w:val="24"/>
          <w:szCs w:val="24"/>
        </w:rPr>
        <w:t>使用较高用水效率等级的卫生器具，评价总分值为15分，并按下列规则评分：</w:t>
      </w:r>
    </w:p>
    <w:p>
      <w:pPr>
        <w:spacing w:line="360" w:lineRule="auto"/>
        <w:ind w:firstLine="482" w:firstLineChars="200"/>
        <w:rPr>
          <w:b/>
          <w:sz w:val="24"/>
          <w:szCs w:val="24"/>
        </w:rPr>
      </w:pPr>
      <w:r>
        <w:rPr>
          <w:rFonts w:hint="eastAsia"/>
          <w:b/>
          <w:sz w:val="24"/>
          <w:szCs w:val="24"/>
        </w:rPr>
        <w:t xml:space="preserve">1 </w:t>
      </w:r>
      <w:r>
        <w:rPr>
          <w:rFonts w:hint="eastAsia"/>
          <w:sz w:val="24"/>
          <w:szCs w:val="24"/>
        </w:rPr>
        <w:t>全部卫生器具的用水效率等级达到2级，得8分。</w:t>
      </w:r>
    </w:p>
    <w:p>
      <w:pPr>
        <w:spacing w:line="360" w:lineRule="auto"/>
        <w:ind w:firstLine="482" w:firstLineChars="200"/>
        <w:rPr>
          <w:b/>
          <w:sz w:val="24"/>
          <w:szCs w:val="24"/>
        </w:rPr>
      </w:pPr>
      <w:r>
        <w:rPr>
          <w:rFonts w:hint="eastAsia"/>
          <w:b/>
          <w:sz w:val="24"/>
          <w:szCs w:val="24"/>
        </w:rPr>
        <w:t xml:space="preserve">2 </w:t>
      </w:r>
      <w:r>
        <w:rPr>
          <w:rFonts w:hint="eastAsia"/>
          <w:sz w:val="24"/>
          <w:szCs w:val="24"/>
        </w:rPr>
        <w:t>50%以上卫生器具的用水效率等级达到1级且其他达到2级，得12分。</w:t>
      </w:r>
    </w:p>
    <w:p>
      <w:pPr>
        <w:spacing w:line="360" w:lineRule="auto"/>
        <w:ind w:firstLine="482" w:firstLineChars="200"/>
        <w:rPr>
          <w:rFonts w:hint="eastAsia"/>
          <w:sz w:val="24"/>
          <w:szCs w:val="24"/>
        </w:rPr>
      </w:pPr>
      <w:r>
        <w:rPr>
          <w:rFonts w:hint="eastAsia"/>
          <w:b/>
          <w:sz w:val="24"/>
          <w:szCs w:val="24"/>
        </w:rPr>
        <w:t xml:space="preserve">3 </w:t>
      </w:r>
      <w:r>
        <w:rPr>
          <w:rFonts w:hint="eastAsia"/>
          <w:sz w:val="24"/>
          <w:szCs w:val="24"/>
        </w:rPr>
        <w:t>全部卫生器具的用水效率等级达到1级，得15分。</w:t>
      </w:r>
    </w:p>
    <w:p>
      <w:pPr>
        <w:spacing w:line="360" w:lineRule="auto"/>
        <w:outlineLvl w:val="2"/>
        <w:rPr>
          <w:sz w:val="28"/>
          <w:szCs w:val="28"/>
        </w:rPr>
      </w:pPr>
      <w:r>
        <w:rPr>
          <w:rFonts w:hint="eastAsia"/>
          <w:b/>
          <w:sz w:val="24"/>
          <w:szCs w:val="24"/>
        </w:rPr>
        <w:t>7</w:t>
      </w:r>
      <w:r>
        <w:rPr>
          <w:b/>
          <w:sz w:val="24"/>
          <w:szCs w:val="24"/>
        </w:rPr>
        <w:t>.2.</w:t>
      </w:r>
      <w:r>
        <w:rPr>
          <w:rFonts w:hint="eastAsia"/>
          <w:b/>
          <w:sz w:val="24"/>
          <w:szCs w:val="24"/>
        </w:rPr>
        <w:t xml:space="preserve">11  </w:t>
      </w:r>
      <w:r>
        <w:rPr>
          <w:rFonts w:hint="eastAsia"/>
          <w:sz w:val="24"/>
          <w:szCs w:val="24"/>
        </w:rPr>
        <w:t>绿化灌溉及空调冷却水系统采用节水设备或技术，评价总分值为12 分，并按下列规则分别评分并累计：</w:t>
      </w:r>
    </w:p>
    <w:p>
      <w:pPr>
        <w:spacing w:line="360" w:lineRule="auto"/>
        <w:ind w:firstLine="482" w:firstLineChars="200"/>
        <w:rPr>
          <w:b/>
          <w:sz w:val="24"/>
          <w:szCs w:val="24"/>
        </w:rPr>
      </w:pPr>
      <w:r>
        <w:rPr>
          <w:rFonts w:hint="eastAsia"/>
          <w:b/>
          <w:sz w:val="24"/>
          <w:szCs w:val="24"/>
        </w:rPr>
        <w:t xml:space="preserve">1 </w:t>
      </w:r>
      <w:r>
        <w:rPr>
          <w:rFonts w:hint="eastAsia"/>
          <w:sz w:val="24"/>
          <w:szCs w:val="24"/>
        </w:rPr>
        <w:t>绿化灌溉采用节水设备或技术，并按下列规则评分：</w:t>
      </w:r>
    </w:p>
    <w:p>
      <w:pPr>
        <w:spacing w:line="360" w:lineRule="auto"/>
        <w:ind w:firstLine="723" w:firstLineChars="300"/>
        <w:rPr>
          <w:b/>
          <w:sz w:val="24"/>
          <w:szCs w:val="24"/>
        </w:rPr>
      </w:pPr>
      <w:r>
        <w:rPr>
          <w:rFonts w:hint="eastAsia"/>
          <w:b/>
          <w:sz w:val="24"/>
          <w:szCs w:val="24"/>
        </w:rPr>
        <w:t xml:space="preserve">1) </w:t>
      </w:r>
      <w:r>
        <w:rPr>
          <w:rFonts w:hint="eastAsia"/>
          <w:sz w:val="24"/>
          <w:szCs w:val="24"/>
        </w:rPr>
        <w:t>采用节水灌溉系统，得4分。</w:t>
      </w:r>
    </w:p>
    <w:p>
      <w:pPr>
        <w:spacing w:line="360" w:lineRule="auto"/>
        <w:ind w:firstLine="723" w:firstLineChars="300"/>
        <w:rPr>
          <w:b/>
          <w:sz w:val="24"/>
          <w:szCs w:val="24"/>
        </w:rPr>
      </w:pPr>
      <w:r>
        <w:rPr>
          <w:rFonts w:hint="eastAsia"/>
          <w:b/>
          <w:sz w:val="24"/>
          <w:szCs w:val="24"/>
        </w:rPr>
        <w:t xml:space="preserve">2) </w:t>
      </w:r>
      <w:r>
        <w:rPr>
          <w:rFonts w:hint="eastAsia"/>
          <w:sz w:val="24"/>
          <w:szCs w:val="24"/>
        </w:rPr>
        <w:t>在采用节水灌溉系统的基础上，设置土壤湿度感应器、雨天自动关闭装置等节水控制措施，或种植无须永久灌溉植物，得6分。</w:t>
      </w:r>
    </w:p>
    <w:p>
      <w:pPr>
        <w:spacing w:line="360" w:lineRule="auto"/>
        <w:ind w:firstLine="482" w:firstLineChars="200"/>
        <w:rPr>
          <w:b/>
          <w:sz w:val="24"/>
          <w:szCs w:val="24"/>
        </w:rPr>
      </w:pPr>
      <w:r>
        <w:rPr>
          <w:rFonts w:hint="eastAsia"/>
          <w:b/>
          <w:sz w:val="24"/>
          <w:szCs w:val="24"/>
        </w:rPr>
        <w:t xml:space="preserve">2 </w:t>
      </w:r>
      <w:r>
        <w:rPr>
          <w:rFonts w:hint="eastAsia"/>
          <w:sz w:val="24"/>
          <w:szCs w:val="24"/>
        </w:rPr>
        <w:t>空调冷却水系统采用节水设备或技术，并按下列规则评分：</w:t>
      </w:r>
    </w:p>
    <w:p>
      <w:pPr>
        <w:spacing w:line="360" w:lineRule="auto"/>
        <w:ind w:firstLine="723" w:firstLineChars="300"/>
        <w:rPr>
          <w:b/>
          <w:sz w:val="24"/>
          <w:szCs w:val="24"/>
        </w:rPr>
      </w:pPr>
      <w:r>
        <w:rPr>
          <w:rFonts w:hint="eastAsia"/>
          <w:b/>
          <w:sz w:val="24"/>
          <w:szCs w:val="24"/>
        </w:rPr>
        <w:t xml:space="preserve">1) </w:t>
      </w:r>
      <w:r>
        <w:rPr>
          <w:rFonts w:hint="eastAsia"/>
          <w:sz w:val="24"/>
          <w:szCs w:val="24"/>
        </w:rPr>
        <w:t>循环冷却水系统采取设置水处理措施、加大集水盘、设置平衡管或平衡水箱等方式，避免冷却水泵停泵时冷却水溢出，得3分。</w:t>
      </w:r>
    </w:p>
    <w:p>
      <w:pPr>
        <w:spacing w:line="360" w:lineRule="auto"/>
        <w:ind w:firstLine="723" w:firstLineChars="300"/>
        <w:rPr>
          <w:rFonts w:hint="eastAsia"/>
          <w:sz w:val="24"/>
          <w:szCs w:val="24"/>
        </w:rPr>
      </w:pPr>
      <w:r>
        <w:rPr>
          <w:rFonts w:hint="eastAsia"/>
          <w:b/>
          <w:sz w:val="24"/>
          <w:szCs w:val="24"/>
        </w:rPr>
        <w:t xml:space="preserve">2) </w:t>
      </w:r>
      <w:r>
        <w:rPr>
          <w:rFonts w:hint="eastAsia"/>
          <w:sz w:val="24"/>
          <w:szCs w:val="24"/>
        </w:rPr>
        <w:t>采用无蒸发耗水量的冷却技术，得6分。</w:t>
      </w:r>
    </w:p>
    <w:p>
      <w:pPr>
        <w:spacing w:line="360" w:lineRule="auto"/>
        <w:outlineLvl w:val="2"/>
        <w:rPr>
          <w:b/>
          <w:sz w:val="24"/>
          <w:szCs w:val="24"/>
        </w:rPr>
      </w:pPr>
      <w:r>
        <w:rPr>
          <w:rFonts w:hint="eastAsia"/>
          <w:b/>
          <w:sz w:val="24"/>
          <w:szCs w:val="24"/>
        </w:rPr>
        <w:t xml:space="preserve">7.2.12  </w:t>
      </w:r>
      <w:r>
        <w:rPr>
          <w:rFonts w:hint="eastAsia"/>
          <w:sz w:val="24"/>
          <w:szCs w:val="24"/>
        </w:rPr>
        <w:t>结合雨水综合利用设施营造室外景观水体，室外景观水体利用雨水的补水量大于水体蒸发量的60%，且采用保障水体水质的生态水处理技术，评价总分值为8分，并按下列规则分别评分并累计：</w:t>
      </w:r>
    </w:p>
    <w:p>
      <w:pPr>
        <w:spacing w:line="360" w:lineRule="auto"/>
        <w:ind w:firstLine="482" w:firstLineChars="200"/>
        <w:rPr>
          <w:b/>
          <w:sz w:val="24"/>
          <w:szCs w:val="24"/>
        </w:rPr>
      </w:pPr>
      <w:r>
        <w:rPr>
          <w:rFonts w:hint="eastAsia"/>
          <w:b/>
          <w:sz w:val="24"/>
          <w:szCs w:val="24"/>
        </w:rPr>
        <w:t xml:space="preserve">1 </w:t>
      </w:r>
      <w:r>
        <w:rPr>
          <w:rFonts w:hint="eastAsia"/>
          <w:sz w:val="24"/>
          <w:szCs w:val="24"/>
        </w:rPr>
        <w:t>对进入室外景观水体的雨水，利用生态设施削减径流污染，得4分；</w:t>
      </w:r>
    </w:p>
    <w:p>
      <w:pPr>
        <w:spacing w:line="360" w:lineRule="auto"/>
        <w:ind w:firstLine="482" w:firstLineChars="200"/>
        <w:rPr>
          <w:rFonts w:hint="eastAsia"/>
          <w:sz w:val="24"/>
          <w:szCs w:val="24"/>
        </w:rPr>
      </w:pPr>
      <w:r>
        <w:rPr>
          <w:rFonts w:hint="eastAsia"/>
          <w:b/>
          <w:sz w:val="24"/>
          <w:szCs w:val="24"/>
        </w:rPr>
        <w:t xml:space="preserve">2 </w:t>
      </w:r>
      <w:r>
        <w:rPr>
          <w:rFonts w:hint="eastAsia"/>
          <w:sz w:val="24"/>
          <w:szCs w:val="24"/>
        </w:rPr>
        <w:t>利用水生动、植物保障室外景观水体水质，得4分。</w:t>
      </w:r>
    </w:p>
    <w:p>
      <w:pPr>
        <w:spacing w:line="360" w:lineRule="auto"/>
        <w:outlineLvl w:val="2"/>
        <w:rPr>
          <w:b/>
          <w:sz w:val="24"/>
          <w:szCs w:val="24"/>
        </w:rPr>
      </w:pPr>
      <w:bookmarkStart w:id="109" w:name="_Toc10660381"/>
      <w:r>
        <w:rPr>
          <w:rFonts w:hint="eastAsia"/>
          <w:b/>
          <w:sz w:val="24"/>
          <w:szCs w:val="24"/>
        </w:rPr>
        <w:t xml:space="preserve">7.2.13  </w:t>
      </w:r>
      <w:r>
        <w:rPr>
          <w:rFonts w:hint="eastAsia"/>
          <w:sz w:val="24"/>
          <w:szCs w:val="24"/>
        </w:rPr>
        <w:t>使用非传统水源，评价总分值为15分，并按下列规则分别评分并累计：</w:t>
      </w:r>
      <w:bookmarkEnd w:id="109"/>
    </w:p>
    <w:p>
      <w:pPr>
        <w:spacing w:line="360" w:lineRule="auto"/>
        <w:ind w:firstLine="482" w:firstLineChars="200"/>
        <w:rPr>
          <w:b/>
          <w:sz w:val="24"/>
          <w:szCs w:val="24"/>
        </w:rPr>
      </w:pPr>
      <w:r>
        <w:rPr>
          <w:rFonts w:hint="eastAsia"/>
          <w:b/>
          <w:sz w:val="24"/>
          <w:szCs w:val="24"/>
        </w:rPr>
        <w:t>1</w:t>
      </w:r>
      <w:r>
        <w:rPr>
          <w:rFonts w:hint="eastAsia"/>
          <w:sz w:val="24"/>
          <w:szCs w:val="24"/>
        </w:rPr>
        <w:t>绿化灌溉、车库及道路冲洗、洗车用水采用非传统水源的用水量占其总用水量的比例不低于40%，得3分；不低于60%，得5分；</w:t>
      </w:r>
    </w:p>
    <w:p>
      <w:pPr>
        <w:spacing w:line="360" w:lineRule="auto"/>
        <w:ind w:firstLine="482" w:firstLineChars="200"/>
        <w:rPr>
          <w:b/>
          <w:sz w:val="24"/>
          <w:szCs w:val="24"/>
        </w:rPr>
      </w:pPr>
      <w:r>
        <w:rPr>
          <w:rFonts w:hint="eastAsia"/>
          <w:b/>
          <w:sz w:val="24"/>
          <w:szCs w:val="24"/>
        </w:rPr>
        <w:t>2</w:t>
      </w:r>
      <w:r>
        <w:rPr>
          <w:rFonts w:hint="eastAsia"/>
          <w:sz w:val="24"/>
          <w:szCs w:val="24"/>
        </w:rPr>
        <w:t>冲厕采用非传统水源的用水量占其总用水量的比例不低于30%，得3分；不低于50%，得5分；</w:t>
      </w:r>
    </w:p>
    <w:p>
      <w:pPr>
        <w:spacing w:line="360" w:lineRule="auto"/>
        <w:ind w:firstLine="482" w:firstLineChars="200"/>
        <w:rPr>
          <w:rFonts w:hint="eastAsia"/>
          <w:sz w:val="24"/>
          <w:szCs w:val="24"/>
        </w:rPr>
      </w:pPr>
      <w:r>
        <w:rPr>
          <w:rFonts w:hint="eastAsia"/>
          <w:b/>
          <w:sz w:val="24"/>
          <w:szCs w:val="24"/>
        </w:rPr>
        <w:t>3</w:t>
      </w:r>
      <w:r>
        <w:rPr>
          <w:rFonts w:hint="eastAsia"/>
          <w:sz w:val="24"/>
          <w:szCs w:val="24"/>
        </w:rPr>
        <w:t>冷却水补水采用非传统水源的用水量占其总用水量的比例不低于20%，得3分；不低于40%，得5分。</w:t>
      </w:r>
    </w:p>
    <w:p>
      <w:pPr>
        <w:spacing w:line="360" w:lineRule="auto"/>
        <w:ind w:firstLine="480" w:firstLineChars="200"/>
        <w:rPr>
          <w:rFonts w:hint="eastAsia"/>
          <w:sz w:val="24"/>
          <w:szCs w:val="24"/>
        </w:rPr>
      </w:pPr>
    </w:p>
    <w:p>
      <w:pPr>
        <w:spacing w:line="300" w:lineRule="auto"/>
        <w:jc w:val="center"/>
        <w:rPr>
          <w:b/>
          <w:sz w:val="24"/>
          <w:szCs w:val="24"/>
        </w:rPr>
      </w:pPr>
      <w:r>
        <w:rPr>
          <w:rFonts w:hint="eastAsia" w:eastAsia="仿宋"/>
          <w:b/>
          <w:sz w:val="24"/>
          <w:szCs w:val="24"/>
        </w:rPr>
        <w:t>Ⅳ</w:t>
      </w:r>
      <w:r>
        <w:rPr>
          <w:rFonts w:eastAsia="仿宋"/>
          <w:b/>
          <w:sz w:val="24"/>
          <w:szCs w:val="24"/>
        </w:rPr>
        <w:t xml:space="preserve">  </w:t>
      </w:r>
      <w:r>
        <w:rPr>
          <w:rFonts w:hint="eastAsia" w:eastAsia="仿宋"/>
          <w:b/>
          <w:sz w:val="24"/>
          <w:szCs w:val="24"/>
        </w:rPr>
        <w:t>节材与绿色建材</w:t>
      </w:r>
    </w:p>
    <w:p>
      <w:pPr>
        <w:spacing w:line="360" w:lineRule="auto"/>
        <w:outlineLvl w:val="2"/>
        <w:rPr>
          <w:rFonts w:hint="eastAsia"/>
          <w:bCs/>
          <w:sz w:val="24"/>
          <w:szCs w:val="24"/>
        </w:rPr>
      </w:pPr>
      <w:r>
        <w:rPr>
          <w:rFonts w:hint="eastAsia"/>
          <w:b/>
          <w:sz w:val="24"/>
          <w:szCs w:val="24"/>
        </w:rPr>
        <w:t xml:space="preserve">7.2.14  </w:t>
      </w:r>
      <w:r>
        <w:rPr>
          <w:rFonts w:hint="eastAsia"/>
          <w:sz w:val="24"/>
          <w:szCs w:val="24"/>
        </w:rPr>
        <w:t>建筑所有区域实施土建工程与装修工程一体化设计及施工，评价总分值为8分。</w:t>
      </w:r>
    </w:p>
    <w:p>
      <w:pPr>
        <w:spacing w:line="360" w:lineRule="auto"/>
        <w:outlineLvl w:val="2"/>
        <w:rPr>
          <w:b/>
          <w:sz w:val="24"/>
          <w:szCs w:val="24"/>
        </w:rPr>
      </w:pPr>
      <w:r>
        <w:rPr>
          <w:b/>
          <w:sz w:val="24"/>
          <w:szCs w:val="24"/>
        </w:rPr>
        <w:t>7.2.15</w:t>
      </w:r>
      <w:r>
        <w:rPr>
          <w:rFonts w:hint="eastAsia"/>
          <w:b/>
          <w:sz w:val="24"/>
          <w:szCs w:val="24"/>
        </w:rPr>
        <w:t xml:space="preserve">  </w:t>
      </w:r>
      <w:r>
        <w:rPr>
          <w:sz w:val="24"/>
          <w:szCs w:val="24"/>
        </w:rPr>
        <w:t>合理选用建筑结构材料与构件，评价总分值为10分，并按下列规则评分：</w:t>
      </w:r>
    </w:p>
    <w:p>
      <w:pPr>
        <w:spacing w:line="360" w:lineRule="auto"/>
        <w:ind w:firstLine="482" w:firstLineChars="200"/>
        <w:rPr>
          <w:b/>
          <w:sz w:val="24"/>
          <w:szCs w:val="24"/>
        </w:rPr>
      </w:pPr>
      <w:r>
        <w:rPr>
          <w:b/>
          <w:sz w:val="24"/>
          <w:szCs w:val="24"/>
        </w:rPr>
        <w:t>1</w:t>
      </w:r>
      <w:r>
        <w:rPr>
          <w:rFonts w:hint="eastAsia"/>
          <w:b/>
          <w:sz w:val="24"/>
          <w:szCs w:val="24"/>
        </w:rPr>
        <w:t xml:space="preserve"> </w:t>
      </w:r>
      <w:r>
        <w:rPr>
          <w:sz w:val="24"/>
          <w:szCs w:val="24"/>
        </w:rPr>
        <w:t>混凝土结构，按下列规则分别评分并累计：</w:t>
      </w:r>
    </w:p>
    <w:p>
      <w:pPr>
        <w:spacing w:line="360" w:lineRule="auto"/>
        <w:ind w:firstLine="723" w:firstLineChars="300"/>
        <w:rPr>
          <w:b/>
          <w:sz w:val="24"/>
          <w:szCs w:val="24"/>
        </w:rPr>
      </w:pPr>
      <w:r>
        <w:rPr>
          <w:b/>
          <w:sz w:val="24"/>
          <w:szCs w:val="24"/>
        </w:rPr>
        <w:t>1</w:t>
      </w:r>
      <w:r>
        <w:rPr>
          <w:sz w:val="24"/>
          <w:szCs w:val="24"/>
        </w:rPr>
        <w:t>）400MPa级及以上强度等级钢筋应用比例达到85%，得5分；</w:t>
      </w:r>
    </w:p>
    <w:p>
      <w:pPr>
        <w:spacing w:line="360" w:lineRule="auto"/>
        <w:ind w:firstLine="723" w:firstLineChars="300"/>
        <w:rPr>
          <w:b/>
          <w:sz w:val="24"/>
          <w:szCs w:val="24"/>
        </w:rPr>
      </w:pPr>
      <w:r>
        <w:rPr>
          <w:b/>
          <w:sz w:val="24"/>
          <w:szCs w:val="24"/>
        </w:rPr>
        <w:t>2</w:t>
      </w:r>
      <w:r>
        <w:rPr>
          <w:sz w:val="24"/>
          <w:szCs w:val="24"/>
        </w:rPr>
        <w:t>）混凝土竖向承重结构采用强度等级不小于C50混凝土用量占竖向承重结构中混凝土总量的比例达到</w:t>
      </w:r>
      <w:r>
        <w:rPr>
          <w:rFonts w:hint="eastAsia"/>
          <w:sz w:val="24"/>
          <w:szCs w:val="24"/>
        </w:rPr>
        <w:t>3</w:t>
      </w:r>
      <w:r>
        <w:rPr>
          <w:sz w:val="24"/>
          <w:szCs w:val="24"/>
        </w:rPr>
        <w:t>0</w:t>
      </w:r>
      <w:r>
        <w:rPr>
          <w:rFonts w:hint="eastAsia"/>
          <w:sz w:val="24"/>
          <w:szCs w:val="24"/>
        </w:rPr>
        <w:t>%，得3分；达到</w:t>
      </w:r>
      <w:r>
        <w:rPr>
          <w:sz w:val="24"/>
          <w:szCs w:val="24"/>
        </w:rPr>
        <w:t>50%，得5分。</w:t>
      </w:r>
    </w:p>
    <w:p>
      <w:pPr>
        <w:spacing w:line="360" w:lineRule="auto"/>
        <w:ind w:firstLine="482" w:firstLineChars="200"/>
        <w:rPr>
          <w:b/>
          <w:sz w:val="24"/>
          <w:szCs w:val="24"/>
        </w:rPr>
      </w:pPr>
      <w:r>
        <w:rPr>
          <w:b/>
          <w:sz w:val="24"/>
          <w:szCs w:val="24"/>
        </w:rPr>
        <w:t>2</w:t>
      </w:r>
      <w:r>
        <w:rPr>
          <w:rFonts w:hint="eastAsia"/>
          <w:b/>
          <w:sz w:val="24"/>
          <w:szCs w:val="24"/>
        </w:rPr>
        <w:t xml:space="preserve"> </w:t>
      </w:r>
      <w:r>
        <w:rPr>
          <w:sz w:val="24"/>
          <w:szCs w:val="24"/>
        </w:rPr>
        <w:t>钢结构，按下列规则分别评分并累计：</w:t>
      </w:r>
    </w:p>
    <w:p>
      <w:pPr>
        <w:spacing w:line="360" w:lineRule="auto"/>
        <w:ind w:firstLine="723" w:firstLineChars="300"/>
        <w:rPr>
          <w:b/>
          <w:sz w:val="24"/>
          <w:szCs w:val="24"/>
        </w:rPr>
      </w:pPr>
      <w:r>
        <w:rPr>
          <w:b/>
          <w:sz w:val="24"/>
          <w:szCs w:val="24"/>
        </w:rPr>
        <w:t>1</w:t>
      </w:r>
      <w:r>
        <w:rPr>
          <w:sz w:val="24"/>
          <w:szCs w:val="24"/>
        </w:rPr>
        <w:t>）Q345及以上高强钢材用量占钢材总量的比例达到50</w:t>
      </w:r>
      <w:r>
        <w:rPr>
          <w:rFonts w:hint="eastAsia"/>
          <w:sz w:val="24"/>
          <w:szCs w:val="24"/>
        </w:rPr>
        <w:t>%</w:t>
      </w:r>
      <w:r>
        <w:rPr>
          <w:sz w:val="24"/>
          <w:szCs w:val="24"/>
        </w:rPr>
        <w:t>，得3分；达到70</w:t>
      </w:r>
      <w:r>
        <w:rPr>
          <w:rFonts w:hint="eastAsia"/>
          <w:sz w:val="24"/>
          <w:szCs w:val="24"/>
        </w:rPr>
        <w:t>%</w:t>
      </w:r>
      <w:r>
        <w:rPr>
          <w:sz w:val="24"/>
          <w:szCs w:val="24"/>
        </w:rPr>
        <w:t>，得4分；</w:t>
      </w:r>
    </w:p>
    <w:p>
      <w:pPr>
        <w:spacing w:line="360" w:lineRule="auto"/>
        <w:ind w:firstLine="723" w:firstLineChars="300"/>
        <w:rPr>
          <w:b/>
          <w:sz w:val="24"/>
          <w:szCs w:val="24"/>
        </w:rPr>
      </w:pPr>
      <w:r>
        <w:rPr>
          <w:b/>
          <w:sz w:val="24"/>
          <w:szCs w:val="24"/>
        </w:rPr>
        <w:t>2</w:t>
      </w:r>
      <w:r>
        <w:rPr>
          <w:sz w:val="24"/>
          <w:szCs w:val="24"/>
        </w:rPr>
        <w:t>）螺栓连接等非现场焊接节点占现场全部连接</w:t>
      </w:r>
      <w:r>
        <w:rPr>
          <w:rFonts w:hint="eastAsia"/>
          <w:sz w:val="24"/>
          <w:szCs w:val="24"/>
        </w:rPr>
        <w:t>、</w:t>
      </w:r>
      <w:r>
        <w:rPr>
          <w:sz w:val="24"/>
          <w:szCs w:val="24"/>
        </w:rPr>
        <w:t>拼接节点的数量比例达到50%，得4分；</w:t>
      </w:r>
    </w:p>
    <w:p>
      <w:pPr>
        <w:spacing w:line="360" w:lineRule="auto"/>
        <w:ind w:firstLine="723" w:firstLineChars="300"/>
        <w:rPr>
          <w:b/>
          <w:sz w:val="24"/>
          <w:szCs w:val="24"/>
        </w:rPr>
      </w:pPr>
      <w:r>
        <w:rPr>
          <w:b/>
          <w:sz w:val="24"/>
          <w:szCs w:val="24"/>
        </w:rPr>
        <w:t>3</w:t>
      </w:r>
      <w:r>
        <w:rPr>
          <w:sz w:val="24"/>
          <w:szCs w:val="24"/>
        </w:rPr>
        <w:t>）采用施工时免支撑的楼屋面板，得2分。</w:t>
      </w:r>
    </w:p>
    <w:p>
      <w:pPr>
        <w:spacing w:line="360" w:lineRule="auto"/>
        <w:ind w:firstLine="482" w:firstLineChars="200"/>
        <w:rPr>
          <w:b/>
          <w:sz w:val="24"/>
          <w:szCs w:val="24"/>
        </w:rPr>
      </w:pPr>
      <w:r>
        <w:rPr>
          <w:b/>
          <w:sz w:val="24"/>
          <w:szCs w:val="24"/>
        </w:rPr>
        <w:t>3</w:t>
      </w:r>
      <w:r>
        <w:rPr>
          <w:rFonts w:hint="eastAsia"/>
          <w:b/>
          <w:sz w:val="24"/>
          <w:szCs w:val="24"/>
        </w:rPr>
        <w:t xml:space="preserve"> </w:t>
      </w:r>
      <w:r>
        <w:rPr>
          <w:sz w:val="24"/>
          <w:szCs w:val="24"/>
        </w:rPr>
        <w:t>混合结构：对其混凝土结构部分、钢结构部分，分别按本条第1款、第2款进行评价，得分取各项得分的平均值。</w:t>
      </w:r>
    </w:p>
    <w:p>
      <w:pPr>
        <w:spacing w:line="360" w:lineRule="auto"/>
        <w:outlineLvl w:val="2"/>
        <w:rPr>
          <w:b/>
          <w:sz w:val="24"/>
          <w:szCs w:val="24"/>
        </w:rPr>
      </w:pPr>
      <w:r>
        <w:rPr>
          <w:b/>
          <w:sz w:val="24"/>
          <w:szCs w:val="24"/>
        </w:rPr>
        <w:t>7.2.16</w:t>
      </w:r>
      <w:r>
        <w:rPr>
          <w:rFonts w:hint="eastAsia"/>
          <w:b/>
          <w:sz w:val="24"/>
          <w:szCs w:val="24"/>
        </w:rPr>
        <w:t xml:space="preserve">  </w:t>
      </w:r>
      <w:r>
        <w:rPr>
          <w:sz w:val="24"/>
          <w:szCs w:val="24"/>
        </w:rPr>
        <w:t>建筑装修选用工业化内装部品，评价总分值为8分。建筑装修选用工业化内装部品占同类部品用量比例达到50%以上的部品种类，达到1种，得3分；达到3种，得5分；达到3种以上，得8分。</w:t>
      </w:r>
    </w:p>
    <w:p>
      <w:pPr>
        <w:spacing w:line="360" w:lineRule="auto"/>
        <w:outlineLvl w:val="2"/>
        <w:rPr>
          <w:b/>
          <w:sz w:val="24"/>
          <w:szCs w:val="24"/>
        </w:rPr>
      </w:pPr>
      <w:r>
        <w:rPr>
          <w:b/>
          <w:sz w:val="24"/>
          <w:szCs w:val="24"/>
        </w:rPr>
        <w:t>7.2.17</w:t>
      </w:r>
      <w:r>
        <w:rPr>
          <w:rFonts w:hint="eastAsia"/>
          <w:b/>
          <w:sz w:val="24"/>
          <w:szCs w:val="24"/>
        </w:rPr>
        <w:t xml:space="preserve">  </w:t>
      </w:r>
      <w:r>
        <w:rPr>
          <w:sz w:val="24"/>
          <w:szCs w:val="24"/>
        </w:rPr>
        <w:t>选用可再循环材料、可再利用材料及利废建材，评价总分值为12分，并按下列规则分别评分并累计：</w:t>
      </w:r>
    </w:p>
    <w:p>
      <w:pPr>
        <w:spacing w:line="360" w:lineRule="auto"/>
        <w:ind w:firstLine="482" w:firstLineChars="200"/>
        <w:rPr>
          <w:b/>
          <w:sz w:val="24"/>
          <w:szCs w:val="24"/>
        </w:rPr>
      </w:pPr>
      <w:r>
        <w:rPr>
          <w:b/>
          <w:sz w:val="24"/>
          <w:szCs w:val="24"/>
        </w:rPr>
        <w:t>1</w:t>
      </w:r>
      <w:r>
        <w:rPr>
          <w:rFonts w:hint="eastAsia"/>
          <w:b/>
          <w:sz w:val="24"/>
          <w:szCs w:val="24"/>
        </w:rPr>
        <w:t xml:space="preserve"> </w:t>
      </w:r>
      <w:r>
        <w:rPr>
          <w:sz w:val="24"/>
          <w:szCs w:val="24"/>
        </w:rPr>
        <w:t>可再循环材料和可再利用材料用量比例，按下列规则评分：</w:t>
      </w:r>
    </w:p>
    <w:p>
      <w:pPr>
        <w:spacing w:line="360" w:lineRule="auto"/>
        <w:ind w:firstLine="723" w:firstLineChars="300"/>
        <w:rPr>
          <w:b/>
          <w:sz w:val="24"/>
          <w:szCs w:val="24"/>
        </w:rPr>
      </w:pPr>
      <w:r>
        <w:rPr>
          <w:b/>
          <w:sz w:val="24"/>
          <w:szCs w:val="24"/>
        </w:rPr>
        <w:t>1</w:t>
      </w:r>
      <w:r>
        <w:rPr>
          <w:sz w:val="24"/>
          <w:szCs w:val="24"/>
        </w:rPr>
        <w:t>）住宅建筑达到6%或公共建筑达到10%，得3分。</w:t>
      </w:r>
    </w:p>
    <w:p>
      <w:pPr>
        <w:spacing w:line="360" w:lineRule="auto"/>
        <w:ind w:firstLine="723" w:firstLineChars="300"/>
        <w:rPr>
          <w:b/>
          <w:sz w:val="24"/>
          <w:szCs w:val="24"/>
        </w:rPr>
      </w:pPr>
      <w:r>
        <w:rPr>
          <w:b/>
          <w:sz w:val="24"/>
          <w:szCs w:val="24"/>
        </w:rPr>
        <w:t>2</w:t>
      </w:r>
      <w:r>
        <w:rPr>
          <w:sz w:val="24"/>
          <w:szCs w:val="24"/>
        </w:rPr>
        <w:t>）住宅建筑达到10%或公共建筑达到15%，得6分。</w:t>
      </w:r>
    </w:p>
    <w:p>
      <w:pPr>
        <w:spacing w:line="360" w:lineRule="auto"/>
        <w:ind w:firstLine="482" w:firstLineChars="200"/>
        <w:rPr>
          <w:b/>
          <w:bCs/>
          <w:sz w:val="24"/>
          <w:szCs w:val="24"/>
        </w:rPr>
      </w:pPr>
      <w:r>
        <w:rPr>
          <w:rFonts w:hint="eastAsia"/>
          <w:b/>
          <w:bCs/>
          <w:sz w:val="24"/>
          <w:szCs w:val="24"/>
        </w:rPr>
        <w:t xml:space="preserve">2 </w:t>
      </w:r>
      <w:r>
        <w:rPr>
          <w:sz w:val="24"/>
          <w:szCs w:val="24"/>
        </w:rPr>
        <w:t>利废建材选用及其用量比例，按下列规则评分：</w:t>
      </w:r>
    </w:p>
    <w:p>
      <w:pPr>
        <w:spacing w:line="360" w:lineRule="auto"/>
        <w:ind w:firstLine="723" w:firstLineChars="300"/>
        <w:rPr>
          <w:b/>
          <w:bCs/>
          <w:sz w:val="24"/>
          <w:szCs w:val="24"/>
        </w:rPr>
      </w:pPr>
      <w:r>
        <w:rPr>
          <w:b/>
          <w:bCs/>
          <w:sz w:val="24"/>
          <w:szCs w:val="24"/>
        </w:rPr>
        <w:t>1</w:t>
      </w:r>
      <w:r>
        <w:rPr>
          <w:bCs/>
          <w:sz w:val="24"/>
          <w:szCs w:val="24"/>
        </w:rPr>
        <w:t>）</w:t>
      </w:r>
      <w:r>
        <w:rPr>
          <w:sz w:val="24"/>
          <w:szCs w:val="24"/>
        </w:rPr>
        <w:t>采用一种利废建材，其占同类建材的用量比例不低于50%，得3分。</w:t>
      </w:r>
    </w:p>
    <w:p>
      <w:pPr>
        <w:spacing w:line="360" w:lineRule="auto"/>
        <w:ind w:firstLine="723" w:firstLineChars="300"/>
        <w:rPr>
          <w:b/>
          <w:bCs/>
          <w:sz w:val="24"/>
          <w:szCs w:val="24"/>
        </w:rPr>
      </w:pPr>
      <w:r>
        <w:rPr>
          <w:b/>
          <w:bCs/>
          <w:sz w:val="24"/>
          <w:szCs w:val="24"/>
        </w:rPr>
        <w:t>2</w:t>
      </w:r>
      <w:r>
        <w:rPr>
          <w:bCs/>
          <w:sz w:val="24"/>
          <w:szCs w:val="24"/>
        </w:rPr>
        <w:t>）</w:t>
      </w:r>
      <w:r>
        <w:rPr>
          <w:sz w:val="24"/>
          <w:szCs w:val="24"/>
        </w:rPr>
        <w:t>选用两种及以上的利废建材，每一种占同类建材的用量比例均不低于30%，得6分。</w:t>
      </w:r>
    </w:p>
    <w:p>
      <w:pPr>
        <w:spacing w:line="360" w:lineRule="auto"/>
        <w:outlineLvl w:val="2"/>
        <w:rPr>
          <w:rFonts w:hint="eastAsia"/>
          <w:sz w:val="24"/>
          <w:szCs w:val="24"/>
        </w:rPr>
      </w:pPr>
      <w:r>
        <w:rPr>
          <w:b/>
          <w:sz w:val="24"/>
          <w:szCs w:val="24"/>
        </w:rPr>
        <w:t>7.2.18</w:t>
      </w:r>
      <w:r>
        <w:rPr>
          <w:rFonts w:hint="eastAsia"/>
          <w:b/>
          <w:sz w:val="24"/>
          <w:szCs w:val="24"/>
        </w:rPr>
        <w:t xml:space="preserve">  </w:t>
      </w:r>
      <w:r>
        <w:rPr>
          <w:sz w:val="24"/>
          <w:szCs w:val="24"/>
        </w:rPr>
        <w:t>选用绿色建材，评价总分值为12分。绿色建材应用比例不低于30%，得4分；不低于50%，得8分；不低于70%，得12分。</w:t>
      </w:r>
    </w:p>
    <w:p>
      <w:pPr>
        <w:spacing w:line="360" w:lineRule="auto"/>
        <w:outlineLvl w:val="2"/>
        <w:rPr>
          <w:rFonts w:hint="eastAsia"/>
          <w:sz w:val="24"/>
          <w:szCs w:val="24"/>
        </w:rPr>
      </w:pPr>
      <w:r>
        <w:rPr>
          <w:b/>
          <w:sz w:val="24"/>
          <w:szCs w:val="24"/>
        </w:rPr>
        <w:t>7.2.19</w:t>
      </w:r>
      <w:r>
        <w:rPr>
          <w:rFonts w:hint="eastAsia"/>
          <w:sz w:val="24"/>
          <w:szCs w:val="24"/>
        </w:rPr>
        <w:t xml:space="preserve">  使用新型墙体材料；建筑外墙采用自保温墙体材料，不使用外保温材料或内保温材料。评价总分值为2分。</w:t>
      </w:r>
    </w:p>
    <w:p>
      <w:pPr>
        <w:spacing w:line="360" w:lineRule="auto"/>
        <w:ind w:firstLine="480" w:firstLineChars="200"/>
        <w:rPr>
          <w:rFonts w:hint="eastAsia"/>
          <w:sz w:val="24"/>
          <w:szCs w:val="24"/>
        </w:rPr>
      </w:pPr>
      <w:r>
        <w:rPr>
          <w:rFonts w:hint="eastAsia"/>
          <w:sz w:val="24"/>
          <w:szCs w:val="24"/>
        </w:rPr>
        <w:t>1 使用新型墙体材料，得1分；</w:t>
      </w:r>
    </w:p>
    <w:p>
      <w:pPr>
        <w:spacing w:line="360" w:lineRule="auto"/>
        <w:ind w:firstLine="480" w:firstLineChars="200"/>
        <w:rPr>
          <w:rFonts w:hint="eastAsia"/>
          <w:sz w:val="24"/>
          <w:szCs w:val="24"/>
        </w:rPr>
      </w:pPr>
      <w:r>
        <w:rPr>
          <w:rFonts w:hint="eastAsia"/>
          <w:sz w:val="24"/>
          <w:szCs w:val="24"/>
        </w:rPr>
        <w:t>2建筑外墙采用自保温墙体材料，得1分。</w:t>
      </w:r>
    </w:p>
    <w:p>
      <w:pPr>
        <w:spacing w:line="360" w:lineRule="auto"/>
        <w:outlineLvl w:val="2"/>
        <w:rPr>
          <w:b/>
          <w:sz w:val="24"/>
          <w:szCs w:val="24"/>
        </w:rPr>
      </w:pPr>
    </w:p>
    <w:p>
      <w:pPr>
        <w:spacing w:line="360" w:lineRule="auto"/>
        <w:outlineLvl w:val="2"/>
        <w:rPr>
          <w:b/>
          <w:sz w:val="24"/>
          <w:szCs w:val="24"/>
        </w:rPr>
      </w:pPr>
    </w:p>
    <w:p>
      <w:pPr>
        <w:ind w:left="420" w:leftChars="150" w:hanging="105" w:hangingChars="50"/>
        <w:jc w:val="center"/>
        <w:outlineLvl w:val="0"/>
        <w:rPr>
          <w:rFonts w:hint="eastAsia"/>
          <w:b/>
          <w:szCs w:val="24"/>
        </w:rPr>
      </w:pPr>
      <w:r>
        <w:rPr>
          <w:b/>
          <w:szCs w:val="24"/>
        </w:rPr>
        <w:br w:type="page"/>
      </w:r>
      <w:bookmarkStart w:id="110" w:name="_Toc24543000"/>
    </w:p>
    <w:p>
      <w:pPr>
        <w:ind w:left="476" w:leftChars="150" w:hanging="161" w:hangingChars="50"/>
        <w:jc w:val="center"/>
        <w:outlineLvl w:val="0"/>
        <w:rPr>
          <w:rFonts w:hint="eastAsia"/>
          <w:b/>
          <w:sz w:val="32"/>
          <w:szCs w:val="32"/>
        </w:rPr>
      </w:pPr>
      <w:r>
        <w:rPr>
          <w:b/>
          <w:sz w:val="32"/>
          <w:szCs w:val="32"/>
        </w:rPr>
        <w:t>8</w:t>
      </w:r>
      <w:r>
        <w:rPr>
          <w:rFonts w:hint="eastAsia"/>
          <w:b/>
          <w:sz w:val="32"/>
          <w:szCs w:val="32"/>
        </w:rPr>
        <w:t xml:space="preserve"> 环 境 宜 居</w:t>
      </w:r>
      <w:bookmarkEnd w:id="110"/>
    </w:p>
    <w:p/>
    <w:p>
      <w:pPr>
        <w:spacing w:line="360" w:lineRule="auto"/>
        <w:ind w:left="435" w:leftChars="150" w:hanging="120" w:hangingChars="50"/>
        <w:jc w:val="center"/>
        <w:outlineLvl w:val="1"/>
        <w:rPr>
          <w:rFonts w:hint="eastAsia" w:eastAsia="黑体"/>
          <w:b/>
          <w:sz w:val="24"/>
          <w:szCs w:val="24"/>
        </w:rPr>
      </w:pPr>
      <w:bookmarkStart w:id="111" w:name="_Toc24543001"/>
      <w:r>
        <w:rPr>
          <w:rFonts w:eastAsia="黑体"/>
          <w:b/>
          <w:sz w:val="24"/>
          <w:szCs w:val="24"/>
        </w:rPr>
        <w:t>8.1</w:t>
      </w:r>
      <w:r>
        <w:rPr>
          <w:rFonts w:hint="eastAsia" w:eastAsia="黑体"/>
          <w:b/>
          <w:sz w:val="24"/>
          <w:szCs w:val="24"/>
        </w:rPr>
        <w:t>控 制 项</w:t>
      </w:r>
      <w:bookmarkEnd w:id="111"/>
    </w:p>
    <w:p/>
    <w:p>
      <w:pPr>
        <w:spacing w:line="360" w:lineRule="auto"/>
        <w:outlineLvl w:val="2"/>
        <w:rPr>
          <w:sz w:val="24"/>
          <w:szCs w:val="24"/>
        </w:rPr>
      </w:pPr>
      <w:r>
        <w:rPr>
          <w:b/>
          <w:sz w:val="24"/>
          <w:szCs w:val="24"/>
        </w:rPr>
        <w:t>8.1.1</w:t>
      </w:r>
      <w:r>
        <w:rPr>
          <w:rFonts w:hint="eastAsia"/>
          <w:b/>
          <w:sz w:val="24"/>
          <w:szCs w:val="24"/>
        </w:rPr>
        <w:t xml:space="preserve"> </w:t>
      </w:r>
      <w:r>
        <w:rPr>
          <w:rFonts w:hint="eastAsia"/>
          <w:sz w:val="24"/>
          <w:szCs w:val="24"/>
        </w:rPr>
        <w:t xml:space="preserve"> 建筑规划布局应满足日照标准，且不得降低周边建筑的日照标准。</w:t>
      </w:r>
    </w:p>
    <w:p>
      <w:pPr>
        <w:spacing w:line="360" w:lineRule="auto"/>
        <w:outlineLvl w:val="2"/>
        <w:rPr>
          <w:sz w:val="24"/>
          <w:szCs w:val="24"/>
        </w:rPr>
      </w:pPr>
      <w:r>
        <w:rPr>
          <w:b/>
          <w:sz w:val="24"/>
          <w:szCs w:val="24"/>
        </w:rPr>
        <w:t>8.1.2</w:t>
      </w:r>
      <w:r>
        <w:rPr>
          <w:rFonts w:hint="eastAsia"/>
          <w:sz w:val="24"/>
          <w:szCs w:val="24"/>
        </w:rPr>
        <w:t xml:space="preserve">  室外热环境应满足国家现行有关标准的要求。</w:t>
      </w:r>
    </w:p>
    <w:p>
      <w:pPr>
        <w:spacing w:line="360" w:lineRule="auto"/>
        <w:outlineLvl w:val="2"/>
        <w:rPr>
          <w:sz w:val="24"/>
          <w:szCs w:val="24"/>
        </w:rPr>
      </w:pPr>
      <w:r>
        <w:rPr>
          <w:b/>
          <w:sz w:val="24"/>
          <w:szCs w:val="24"/>
        </w:rPr>
        <w:t>8.1.3</w:t>
      </w:r>
      <w:r>
        <w:rPr>
          <w:rFonts w:hint="eastAsia"/>
          <w:sz w:val="24"/>
          <w:szCs w:val="24"/>
        </w:rPr>
        <w:t xml:space="preserve">  配建的绿地应符合所在地城乡规划的要求，应合理选择绿化方式，植物种植应适应当地气候和土壤，且应无毒害、易维护，种植区域覆土深度和排水能力应满足植物生长需求，并应采用复层绿化方式。</w:t>
      </w:r>
    </w:p>
    <w:p>
      <w:pPr>
        <w:spacing w:line="360" w:lineRule="auto"/>
        <w:outlineLvl w:val="2"/>
        <w:rPr>
          <w:sz w:val="24"/>
          <w:szCs w:val="24"/>
        </w:rPr>
      </w:pPr>
      <w:r>
        <w:rPr>
          <w:b/>
          <w:sz w:val="24"/>
          <w:szCs w:val="24"/>
        </w:rPr>
        <w:t>8.1.4</w:t>
      </w:r>
      <w:r>
        <w:rPr>
          <w:rFonts w:hint="eastAsia"/>
          <w:sz w:val="24"/>
          <w:szCs w:val="24"/>
        </w:rPr>
        <w:t xml:space="preserve">  场地的竖向设计应有利于雨水的收集或排放，应有效组织雨水的下渗、滞蓄或再利用；对大于10hm</w:t>
      </w:r>
      <w:r>
        <w:rPr>
          <w:rFonts w:hint="eastAsia"/>
          <w:sz w:val="24"/>
          <w:szCs w:val="24"/>
          <w:vertAlign w:val="superscript"/>
        </w:rPr>
        <w:t>2</w:t>
      </w:r>
      <w:r>
        <w:rPr>
          <w:rFonts w:hint="eastAsia"/>
          <w:sz w:val="24"/>
          <w:szCs w:val="24"/>
        </w:rPr>
        <w:t>的场地应进行雨水控制利用专项设计。</w:t>
      </w:r>
    </w:p>
    <w:p>
      <w:pPr>
        <w:spacing w:line="360" w:lineRule="auto"/>
        <w:outlineLvl w:val="2"/>
        <w:rPr>
          <w:sz w:val="24"/>
          <w:szCs w:val="24"/>
        </w:rPr>
      </w:pPr>
      <w:r>
        <w:rPr>
          <w:b/>
          <w:sz w:val="24"/>
          <w:szCs w:val="24"/>
        </w:rPr>
        <w:t>8.1.5</w:t>
      </w:r>
      <w:r>
        <w:rPr>
          <w:sz w:val="24"/>
          <w:szCs w:val="24"/>
        </w:rPr>
        <w:t xml:space="preserve"> </w:t>
      </w:r>
      <w:r>
        <w:rPr>
          <w:rFonts w:hint="eastAsia"/>
          <w:sz w:val="24"/>
          <w:szCs w:val="24"/>
        </w:rPr>
        <w:t xml:space="preserve"> 建筑内外均应设置便于识别和使用的标识系统。</w:t>
      </w:r>
    </w:p>
    <w:p>
      <w:pPr>
        <w:spacing w:line="360" w:lineRule="auto"/>
        <w:outlineLvl w:val="2"/>
        <w:rPr>
          <w:sz w:val="24"/>
          <w:szCs w:val="24"/>
        </w:rPr>
      </w:pPr>
      <w:r>
        <w:rPr>
          <w:b/>
          <w:sz w:val="24"/>
          <w:szCs w:val="24"/>
        </w:rPr>
        <w:t>8.1.6</w:t>
      </w:r>
      <w:r>
        <w:rPr>
          <w:rFonts w:hint="eastAsia"/>
          <w:sz w:val="24"/>
          <w:szCs w:val="24"/>
        </w:rPr>
        <w:t xml:space="preserve">  场地内不应有排放超标的污染源。</w:t>
      </w:r>
    </w:p>
    <w:p>
      <w:pPr>
        <w:spacing w:line="360" w:lineRule="auto"/>
        <w:outlineLvl w:val="2"/>
        <w:rPr>
          <w:rFonts w:hint="eastAsia"/>
          <w:sz w:val="24"/>
          <w:szCs w:val="24"/>
        </w:rPr>
      </w:pPr>
      <w:r>
        <w:rPr>
          <w:b/>
          <w:sz w:val="24"/>
          <w:szCs w:val="24"/>
        </w:rPr>
        <w:t>8.1.7</w:t>
      </w:r>
      <w:r>
        <w:rPr>
          <w:sz w:val="24"/>
          <w:szCs w:val="24"/>
        </w:rPr>
        <w:t xml:space="preserve"> </w:t>
      </w:r>
      <w:r>
        <w:rPr>
          <w:rFonts w:hint="eastAsia"/>
          <w:sz w:val="24"/>
          <w:szCs w:val="24"/>
        </w:rPr>
        <w:t xml:space="preserve"> 生活垃圾应分类收集，垃圾容器和收集点的设置应合理并应与周围景观协调。</w:t>
      </w:r>
    </w:p>
    <w:p/>
    <w:p>
      <w:pPr>
        <w:spacing w:line="360" w:lineRule="auto"/>
        <w:ind w:left="435" w:leftChars="150" w:hanging="120" w:hangingChars="50"/>
        <w:jc w:val="center"/>
        <w:outlineLvl w:val="1"/>
        <w:rPr>
          <w:rFonts w:eastAsia="黑体"/>
          <w:b/>
          <w:sz w:val="24"/>
          <w:szCs w:val="24"/>
        </w:rPr>
      </w:pPr>
      <w:bookmarkStart w:id="112" w:name="_Toc24543002"/>
      <w:r>
        <w:rPr>
          <w:rFonts w:eastAsia="黑体"/>
          <w:b/>
          <w:sz w:val="24"/>
          <w:szCs w:val="24"/>
        </w:rPr>
        <w:t>8.2</w:t>
      </w:r>
      <w:r>
        <w:rPr>
          <w:rFonts w:hint="eastAsia" w:eastAsia="黑体"/>
          <w:b/>
          <w:sz w:val="24"/>
          <w:szCs w:val="24"/>
        </w:rPr>
        <w:t>评 分 项</w:t>
      </w:r>
      <w:bookmarkEnd w:id="112"/>
    </w:p>
    <w:p>
      <w:pPr>
        <w:spacing w:line="360" w:lineRule="auto"/>
        <w:ind w:left="435" w:leftChars="150" w:hanging="120" w:hangingChars="50"/>
        <w:jc w:val="center"/>
        <w:rPr>
          <w:rFonts w:eastAsia="仿宋"/>
          <w:b/>
          <w:sz w:val="24"/>
          <w:szCs w:val="24"/>
        </w:rPr>
      </w:pPr>
      <w:r>
        <w:rPr>
          <w:rFonts w:hint="eastAsia" w:eastAsia="仿宋"/>
          <w:b/>
          <w:sz w:val="24"/>
          <w:szCs w:val="24"/>
        </w:rPr>
        <w:t>I 场地生态与景观</w:t>
      </w:r>
    </w:p>
    <w:p>
      <w:pPr>
        <w:spacing w:line="360" w:lineRule="auto"/>
        <w:rPr>
          <w:sz w:val="24"/>
          <w:szCs w:val="24"/>
        </w:rPr>
      </w:pPr>
      <w:r>
        <w:rPr>
          <w:b/>
          <w:sz w:val="24"/>
          <w:szCs w:val="24"/>
        </w:rPr>
        <w:t>8.2.1</w:t>
      </w:r>
      <w:r>
        <w:rPr>
          <w:sz w:val="24"/>
          <w:szCs w:val="24"/>
        </w:rPr>
        <w:t xml:space="preserve"> </w:t>
      </w:r>
      <w:r>
        <w:rPr>
          <w:rFonts w:hint="eastAsia"/>
          <w:sz w:val="24"/>
          <w:szCs w:val="24"/>
        </w:rPr>
        <w:t xml:space="preserve"> 充分保护或修复场地生态环境，合理布局建筑及景观，评价总分值为10分，并按下列规则评分：</w:t>
      </w:r>
    </w:p>
    <w:p>
      <w:pPr>
        <w:spacing w:line="360" w:lineRule="auto"/>
        <w:ind w:firstLine="482" w:firstLineChars="200"/>
        <w:rPr>
          <w:sz w:val="24"/>
          <w:szCs w:val="24"/>
        </w:rPr>
      </w:pPr>
      <w:r>
        <w:rPr>
          <w:b/>
          <w:sz w:val="24"/>
          <w:szCs w:val="24"/>
        </w:rPr>
        <w:t>l</w:t>
      </w:r>
      <w:r>
        <w:rPr>
          <w:rFonts w:hint="eastAsia"/>
          <w:sz w:val="24"/>
          <w:szCs w:val="24"/>
        </w:rPr>
        <w:t xml:space="preserve"> 保护场地内原有的自然水域、湿地、植被等，保持场地内的生态系统与场地外生态系统的连贯性，得10分。</w:t>
      </w:r>
    </w:p>
    <w:p>
      <w:pPr>
        <w:spacing w:line="360" w:lineRule="auto"/>
        <w:ind w:firstLine="482" w:firstLineChars="200"/>
        <w:rPr>
          <w:sz w:val="24"/>
          <w:szCs w:val="24"/>
        </w:rPr>
      </w:pPr>
      <w:r>
        <w:rPr>
          <w:b/>
          <w:sz w:val="24"/>
          <w:szCs w:val="24"/>
        </w:rPr>
        <w:t>2</w:t>
      </w:r>
      <w:r>
        <w:rPr>
          <w:rFonts w:hint="eastAsia"/>
          <w:sz w:val="24"/>
          <w:szCs w:val="24"/>
        </w:rPr>
        <w:t xml:space="preserve"> 采取净地表层土回收利用等生态补偿措施，得10分。</w:t>
      </w:r>
    </w:p>
    <w:p>
      <w:pPr>
        <w:spacing w:line="360" w:lineRule="auto"/>
        <w:ind w:firstLine="482" w:firstLineChars="200"/>
        <w:rPr>
          <w:sz w:val="24"/>
          <w:szCs w:val="24"/>
        </w:rPr>
      </w:pPr>
      <w:r>
        <w:rPr>
          <w:b/>
          <w:sz w:val="24"/>
          <w:szCs w:val="24"/>
        </w:rPr>
        <w:t>3</w:t>
      </w:r>
      <w:r>
        <w:rPr>
          <w:rFonts w:hint="eastAsia"/>
          <w:sz w:val="24"/>
          <w:szCs w:val="24"/>
        </w:rPr>
        <w:t xml:space="preserve"> 根据场地实际状况，采取其他生态恢复或补偿措施，得10分。</w:t>
      </w:r>
    </w:p>
    <w:p>
      <w:pPr>
        <w:spacing w:line="360" w:lineRule="auto"/>
        <w:outlineLvl w:val="2"/>
        <w:rPr>
          <w:sz w:val="24"/>
          <w:szCs w:val="24"/>
        </w:rPr>
      </w:pPr>
      <w:r>
        <w:rPr>
          <w:b/>
          <w:sz w:val="24"/>
          <w:szCs w:val="24"/>
        </w:rPr>
        <w:t>8.2.2</w:t>
      </w:r>
      <w:r>
        <w:rPr>
          <w:rFonts w:hint="eastAsia"/>
          <w:sz w:val="24"/>
          <w:szCs w:val="24"/>
        </w:rPr>
        <w:t xml:space="preserve">  规划场地地表和屋面雨水径流，对场地雨水实施外排总量控制，评价总分值为10分。场地年径流总量控制率达到55%，得5分；达到70%，得10分。</w:t>
      </w:r>
    </w:p>
    <w:p>
      <w:pPr>
        <w:spacing w:line="360" w:lineRule="auto"/>
        <w:outlineLvl w:val="2"/>
        <w:rPr>
          <w:sz w:val="24"/>
          <w:szCs w:val="24"/>
        </w:rPr>
      </w:pPr>
      <w:r>
        <w:rPr>
          <w:b/>
          <w:sz w:val="24"/>
          <w:szCs w:val="24"/>
        </w:rPr>
        <w:t>8.2.3</w:t>
      </w:r>
      <w:r>
        <w:rPr>
          <w:sz w:val="24"/>
          <w:szCs w:val="24"/>
        </w:rPr>
        <w:t xml:space="preserve">  </w:t>
      </w:r>
      <w:r>
        <w:rPr>
          <w:rFonts w:hint="eastAsia"/>
          <w:sz w:val="24"/>
          <w:szCs w:val="24"/>
        </w:rPr>
        <w:t>充分利用场地空间设置绿化用地，评价总分值为16分，并按下列规则评分：</w:t>
      </w:r>
    </w:p>
    <w:p>
      <w:pPr>
        <w:spacing w:line="360" w:lineRule="auto"/>
        <w:ind w:firstLine="482" w:firstLineChars="200"/>
        <w:rPr>
          <w:sz w:val="24"/>
          <w:szCs w:val="24"/>
        </w:rPr>
      </w:pPr>
      <w:r>
        <w:rPr>
          <w:rFonts w:hint="eastAsia"/>
          <w:b/>
          <w:sz w:val="24"/>
          <w:szCs w:val="24"/>
        </w:rPr>
        <w:t>1</w:t>
      </w:r>
      <w:r>
        <w:rPr>
          <w:rFonts w:hint="eastAsia"/>
          <w:sz w:val="24"/>
          <w:szCs w:val="24"/>
        </w:rPr>
        <w:t xml:space="preserve"> 住宅建筑按下列规则分别评分并累计：</w:t>
      </w:r>
    </w:p>
    <w:p>
      <w:pPr>
        <w:pStyle w:val="28"/>
        <w:numPr>
          <w:ilvl w:val="0"/>
          <w:numId w:val="1"/>
        </w:numPr>
        <w:spacing w:line="360" w:lineRule="auto"/>
        <w:ind w:firstLineChars="0"/>
        <w:rPr>
          <w:rFonts w:ascii="Times New Roman" w:hAnsi="Times New Roman"/>
          <w:sz w:val="24"/>
          <w:szCs w:val="24"/>
        </w:rPr>
      </w:pPr>
      <w:r>
        <w:rPr>
          <w:rFonts w:hint="eastAsia" w:ascii="Times New Roman" w:hAnsi="Times New Roman"/>
          <w:sz w:val="24"/>
          <w:szCs w:val="24"/>
        </w:rPr>
        <w:t>绿地率达到规划指标105% 及以上，得7分；</w:t>
      </w:r>
    </w:p>
    <w:p>
      <w:pPr>
        <w:pStyle w:val="28"/>
        <w:numPr>
          <w:ilvl w:val="0"/>
          <w:numId w:val="1"/>
        </w:numPr>
        <w:spacing w:line="360" w:lineRule="auto"/>
        <w:ind w:firstLineChars="0"/>
        <w:rPr>
          <w:rFonts w:ascii="Times New Roman" w:hAnsi="Times New Roman"/>
          <w:sz w:val="24"/>
          <w:szCs w:val="24"/>
        </w:rPr>
      </w:pPr>
      <w:r>
        <w:rPr>
          <w:rFonts w:hint="eastAsia" w:ascii="Times New Roman" w:hAnsi="Times New Roman"/>
          <w:sz w:val="24"/>
          <w:szCs w:val="24"/>
        </w:rPr>
        <w:t>绿地配置乔木不少于3.0株/100m</w:t>
      </w:r>
      <w:r>
        <w:rPr>
          <w:rFonts w:hint="eastAsia" w:ascii="Times New Roman" w:hAnsi="Times New Roman"/>
          <w:sz w:val="24"/>
          <w:szCs w:val="24"/>
          <w:vertAlign w:val="superscript"/>
        </w:rPr>
        <w:t>2</w:t>
      </w:r>
      <w:r>
        <w:rPr>
          <w:rFonts w:hint="eastAsia" w:ascii="Times New Roman" w:hAnsi="Times New Roman"/>
          <w:sz w:val="24"/>
          <w:szCs w:val="24"/>
        </w:rPr>
        <w:t>，得5分；</w:t>
      </w:r>
    </w:p>
    <w:p>
      <w:pPr>
        <w:spacing w:line="360" w:lineRule="auto"/>
        <w:ind w:firstLine="602" w:firstLineChars="250"/>
        <w:rPr>
          <w:sz w:val="24"/>
          <w:szCs w:val="24"/>
        </w:rPr>
      </w:pPr>
      <w:r>
        <w:rPr>
          <w:rFonts w:hint="eastAsia"/>
          <w:b/>
          <w:sz w:val="24"/>
          <w:szCs w:val="24"/>
        </w:rPr>
        <w:t>3</w:t>
      </w:r>
      <w:r>
        <w:rPr>
          <w:rFonts w:hint="eastAsia"/>
          <w:sz w:val="24"/>
          <w:szCs w:val="24"/>
        </w:rPr>
        <w:t>)住宅建筑所在居住街坊内人均集中绿地面积，按表8.2.3 的规则评分，最高得4分。</w:t>
      </w:r>
    </w:p>
    <w:p>
      <w:pPr>
        <w:spacing w:line="360" w:lineRule="auto"/>
        <w:jc w:val="center"/>
        <w:rPr>
          <w:rFonts w:eastAsia="黑体"/>
          <w:b/>
          <w:bCs/>
          <w:sz w:val="22"/>
          <w:szCs w:val="24"/>
        </w:rPr>
      </w:pPr>
      <w:r>
        <w:rPr>
          <w:rFonts w:eastAsia="黑体"/>
          <w:b/>
          <w:bCs/>
          <w:sz w:val="22"/>
          <w:szCs w:val="24"/>
        </w:rPr>
        <w:t>表8.2.3  住宅建筑人均集中绿地面积评分规则</w:t>
      </w:r>
    </w:p>
    <w:tbl>
      <w:tblPr>
        <w:tblStyle w:val="11"/>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837"/>
        <w:gridCol w:w="3882"/>
        <w:gridCol w:w="20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Pr>
        <w:tc>
          <w:tcPr>
            <w:tcW w:w="3939" w:type="pct"/>
            <w:gridSpan w:val="2"/>
            <w:noWrap w:val="0"/>
            <w:vAlign w:val="center"/>
          </w:tcPr>
          <w:p>
            <w:pPr>
              <w:adjustRightInd w:val="0"/>
              <w:spacing w:line="360" w:lineRule="auto"/>
              <w:jc w:val="center"/>
              <w:rPr>
                <w:bCs/>
                <w:sz w:val="24"/>
                <w:szCs w:val="24"/>
              </w:rPr>
            </w:pPr>
            <w:r>
              <w:rPr>
                <w:bCs/>
                <w:sz w:val="24"/>
                <w:szCs w:val="24"/>
              </w:rPr>
              <w:t>人均集中绿地面积Ag (m</w:t>
            </w:r>
            <w:r>
              <w:rPr>
                <w:bCs/>
                <w:sz w:val="24"/>
                <w:szCs w:val="24"/>
                <w:vertAlign w:val="superscript"/>
              </w:rPr>
              <w:t>2</w:t>
            </w:r>
            <w:r>
              <w:rPr>
                <w:bCs/>
                <w:sz w:val="24"/>
                <w:szCs w:val="24"/>
              </w:rPr>
              <w:t>/人)</w:t>
            </w:r>
          </w:p>
        </w:tc>
        <w:tc>
          <w:tcPr>
            <w:tcW w:w="1061" w:type="pct"/>
            <w:vMerge w:val="restart"/>
            <w:noWrap w:val="0"/>
            <w:vAlign w:val="center"/>
          </w:tcPr>
          <w:p>
            <w:pPr>
              <w:adjustRightInd w:val="0"/>
              <w:spacing w:line="360" w:lineRule="auto"/>
              <w:jc w:val="center"/>
              <w:rPr>
                <w:bCs/>
                <w:sz w:val="24"/>
                <w:szCs w:val="24"/>
              </w:rPr>
            </w:pPr>
            <w:r>
              <w:rPr>
                <w:bCs/>
                <w:sz w:val="24"/>
                <w:szCs w:val="24"/>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Pr>
        <w:tc>
          <w:tcPr>
            <w:tcW w:w="1958" w:type="pct"/>
            <w:noWrap w:val="0"/>
            <w:vAlign w:val="center"/>
          </w:tcPr>
          <w:p>
            <w:pPr>
              <w:adjustRightInd w:val="0"/>
              <w:spacing w:line="360" w:lineRule="auto"/>
              <w:jc w:val="center"/>
              <w:rPr>
                <w:bCs/>
                <w:sz w:val="24"/>
                <w:szCs w:val="24"/>
              </w:rPr>
            </w:pPr>
            <w:r>
              <w:rPr>
                <w:bCs/>
                <w:sz w:val="24"/>
                <w:szCs w:val="24"/>
              </w:rPr>
              <w:t>新区建设</w:t>
            </w:r>
          </w:p>
        </w:tc>
        <w:tc>
          <w:tcPr>
            <w:tcW w:w="1981" w:type="pct"/>
            <w:noWrap w:val="0"/>
            <w:vAlign w:val="center"/>
          </w:tcPr>
          <w:p>
            <w:pPr>
              <w:adjustRightInd w:val="0"/>
              <w:spacing w:line="360" w:lineRule="auto"/>
              <w:jc w:val="center"/>
              <w:rPr>
                <w:bCs/>
                <w:sz w:val="24"/>
                <w:szCs w:val="24"/>
              </w:rPr>
            </w:pPr>
            <w:r>
              <w:rPr>
                <w:bCs/>
                <w:sz w:val="24"/>
                <w:szCs w:val="24"/>
              </w:rPr>
              <w:t>旧区改建</w:t>
            </w:r>
          </w:p>
        </w:tc>
        <w:tc>
          <w:tcPr>
            <w:tcW w:w="1061" w:type="pct"/>
            <w:vMerge w:val="continue"/>
            <w:noWrap w:val="0"/>
            <w:vAlign w:val="center"/>
          </w:tcPr>
          <w:p>
            <w:pPr>
              <w:adjustRightInd w:val="0"/>
              <w:spacing w:line="360" w:lineRule="auto"/>
              <w:jc w:val="center"/>
              <w:rPr>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Pr>
        <w:tc>
          <w:tcPr>
            <w:tcW w:w="1958" w:type="pct"/>
            <w:noWrap w:val="0"/>
            <w:vAlign w:val="center"/>
          </w:tcPr>
          <w:p>
            <w:pPr>
              <w:adjustRightInd w:val="0"/>
              <w:spacing w:line="360" w:lineRule="auto"/>
              <w:jc w:val="center"/>
              <w:rPr>
                <w:bCs/>
                <w:sz w:val="24"/>
                <w:szCs w:val="24"/>
              </w:rPr>
            </w:pPr>
            <w:r>
              <w:rPr>
                <w:bCs/>
                <w:sz w:val="24"/>
                <w:szCs w:val="24"/>
              </w:rPr>
              <w:t>0.50</w:t>
            </w:r>
          </w:p>
        </w:tc>
        <w:tc>
          <w:tcPr>
            <w:tcW w:w="1981" w:type="pct"/>
            <w:noWrap w:val="0"/>
            <w:vAlign w:val="center"/>
          </w:tcPr>
          <w:p>
            <w:pPr>
              <w:adjustRightInd w:val="0"/>
              <w:spacing w:line="360" w:lineRule="auto"/>
              <w:jc w:val="center"/>
              <w:rPr>
                <w:bCs/>
                <w:sz w:val="24"/>
                <w:szCs w:val="24"/>
              </w:rPr>
            </w:pPr>
            <w:r>
              <w:rPr>
                <w:bCs/>
                <w:sz w:val="24"/>
                <w:szCs w:val="24"/>
              </w:rPr>
              <w:t>0.35</w:t>
            </w:r>
          </w:p>
        </w:tc>
        <w:tc>
          <w:tcPr>
            <w:tcW w:w="1061" w:type="pct"/>
            <w:noWrap w:val="0"/>
            <w:vAlign w:val="center"/>
          </w:tcPr>
          <w:p>
            <w:pPr>
              <w:adjustRightInd w:val="0"/>
              <w:spacing w:line="360" w:lineRule="auto"/>
              <w:jc w:val="center"/>
              <w:rPr>
                <w:bCs/>
                <w:sz w:val="24"/>
                <w:szCs w:val="24"/>
              </w:rPr>
            </w:pPr>
            <w:r>
              <w:rPr>
                <w:bCs/>
                <w:sz w:val="24"/>
                <w:szCs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Pr>
        <w:tc>
          <w:tcPr>
            <w:tcW w:w="1958" w:type="pct"/>
            <w:noWrap w:val="0"/>
            <w:vAlign w:val="center"/>
          </w:tcPr>
          <w:p>
            <w:pPr>
              <w:adjustRightInd w:val="0"/>
              <w:spacing w:line="360" w:lineRule="auto"/>
              <w:jc w:val="center"/>
              <w:rPr>
                <w:bCs/>
                <w:sz w:val="24"/>
                <w:szCs w:val="24"/>
              </w:rPr>
            </w:pPr>
            <w:r>
              <w:rPr>
                <w:bCs/>
                <w:sz w:val="24"/>
                <w:szCs w:val="24"/>
              </w:rPr>
              <w:t>0.50＜Ag＜0.60</w:t>
            </w:r>
          </w:p>
        </w:tc>
        <w:tc>
          <w:tcPr>
            <w:tcW w:w="1981" w:type="pct"/>
            <w:noWrap w:val="0"/>
            <w:vAlign w:val="center"/>
          </w:tcPr>
          <w:p>
            <w:pPr>
              <w:adjustRightInd w:val="0"/>
              <w:spacing w:line="360" w:lineRule="auto"/>
              <w:jc w:val="center"/>
              <w:rPr>
                <w:bCs/>
                <w:sz w:val="24"/>
                <w:szCs w:val="24"/>
              </w:rPr>
            </w:pPr>
            <w:r>
              <w:rPr>
                <w:bCs/>
                <w:sz w:val="24"/>
                <w:szCs w:val="24"/>
              </w:rPr>
              <w:t>0.35＜Ag＜0.45</w:t>
            </w:r>
          </w:p>
        </w:tc>
        <w:tc>
          <w:tcPr>
            <w:tcW w:w="1061" w:type="pct"/>
            <w:noWrap w:val="0"/>
            <w:vAlign w:val="center"/>
          </w:tcPr>
          <w:p>
            <w:pPr>
              <w:adjustRightInd w:val="0"/>
              <w:spacing w:line="360" w:lineRule="auto"/>
              <w:jc w:val="center"/>
              <w:rPr>
                <w:bCs/>
                <w:sz w:val="24"/>
                <w:szCs w:val="24"/>
              </w:rPr>
            </w:pPr>
            <w:r>
              <w:rPr>
                <w:rFonts w:hint="eastAsia"/>
                <w:bCs/>
                <w:sz w:val="24"/>
                <w:szCs w:val="24"/>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Pr>
        <w:tc>
          <w:tcPr>
            <w:tcW w:w="1958" w:type="pct"/>
            <w:noWrap w:val="0"/>
            <w:vAlign w:val="center"/>
          </w:tcPr>
          <w:p>
            <w:pPr>
              <w:adjustRightInd w:val="0"/>
              <w:spacing w:line="360" w:lineRule="auto"/>
              <w:jc w:val="center"/>
              <w:rPr>
                <w:bCs/>
                <w:sz w:val="24"/>
                <w:szCs w:val="24"/>
              </w:rPr>
            </w:pPr>
            <w:r>
              <w:rPr>
                <w:bCs/>
                <w:sz w:val="24"/>
                <w:szCs w:val="24"/>
              </w:rPr>
              <w:t>Ag≥0.60</w:t>
            </w:r>
          </w:p>
        </w:tc>
        <w:tc>
          <w:tcPr>
            <w:tcW w:w="1981" w:type="pct"/>
            <w:noWrap w:val="0"/>
            <w:vAlign w:val="center"/>
          </w:tcPr>
          <w:p>
            <w:pPr>
              <w:adjustRightInd w:val="0"/>
              <w:spacing w:line="360" w:lineRule="auto"/>
              <w:jc w:val="center"/>
              <w:rPr>
                <w:bCs/>
                <w:sz w:val="24"/>
                <w:szCs w:val="24"/>
              </w:rPr>
            </w:pPr>
            <w:r>
              <w:rPr>
                <w:bCs/>
                <w:sz w:val="24"/>
                <w:szCs w:val="24"/>
              </w:rPr>
              <w:t>Ag≥0.45</w:t>
            </w:r>
          </w:p>
        </w:tc>
        <w:tc>
          <w:tcPr>
            <w:tcW w:w="1061" w:type="pct"/>
            <w:noWrap w:val="0"/>
            <w:vAlign w:val="center"/>
          </w:tcPr>
          <w:p>
            <w:pPr>
              <w:adjustRightInd w:val="0"/>
              <w:spacing w:line="360" w:lineRule="auto"/>
              <w:jc w:val="center"/>
              <w:rPr>
                <w:bCs/>
                <w:sz w:val="24"/>
                <w:szCs w:val="24"/>
              </w:rPr>
            </w:pPr>
            <w:r>
              <w:rPr>
                <w:rFonts w:hint="eastAsia"/>
                <w:bCs/>
                <w:sz w:val="24"/>
                <w:szCs w:val="24"/>
              </w:rPr>
              <w:t>4</w:t>
            </w:r>
          </w:p>
        </w:tc>
      </w:tr>
    </w:tbl>
    <w:p>
      <w:pPr>
        <w:spacing w:line="360" w:lineRule="auto"/>
        <w:ind w:firstLine="480" w:firstLineChars="200"/>
        <w:rPr>
          <w:sz w:val="24"/>
          <w:szCs w:val="24"/>
        </w:rPr>
      </w:pPr>
    </w:p>
    <w:p>
      <w:pPr>
        <w:spacing w:line="360" w:lineRule="auto"/>
        <w:ind w:firstLine="482" w:firstLineChars="200"/>
        <w:rPr>
          <w:sz w:val="24"/>
          <w:szCs w:val="24"/>
        </w:rPr>
      </w:pPr>
      <w:r>
        <w:rPr>
          <w:b/>
          <w:sz w:val="24"/>
          <w:szCs w:val="24"/>
        </w:rPr>
        <w:t>2</w:t>
      </w:r>
      <w:r>
        <w:rPr>
          <w:sz w:val="24"/>
          <w:szCs w:val="24"/>
        </w:rPr>
        <w:t xml:space="preserve"> </w:t>
      </w:r>
      <w:r>
        <w:rPr>
          <w:rFonts w:hint="eastAsia"/>
          <w:sz w:val="24"/>
          <w:szCs w:val="24"/>
        </w:rPr>
        <w:t>公共建筑按下列规则分别评分并累计：</w:t>
      </w:r>
    </w:p>
    <w:p>
      <w:pPr>
        <w:spacing w:line="360" w:lineRule="auto"/>
        <w:ind w:left="991" w:leftChars="300" w:hanging="361" w:hangingChars="150"/>
        <w:rPr>
          <w:sz w:val="24"/>
          <w:szCs w:val="24"/>
        </w:rPr>
      </w:pPr>
      <w:r>
        <w:rPr>
          <w:b/>
          <w:sz w:val="24"/>
          <w:szCs w:val="24"/>
        </w:rPr>
        <w:t>1</w:t>
      </w:r>
      <w:r>
        <w:rPr>
          <w:sz w:val="24"/>
          <w:szCs w:val="24"/>
        </w:rPr>
        <w:t>)</w:t>
      </w:r>
      <w:r>
        <w:rPr>
          <w:rFonts w:hint="eastAsia"/>
          <w:sz w:val="24"/>
          <w:szCs w:val="24"/>
        </w:rPr>
        <w:t xml:space="preserve"> 公共建筑绿地率达到规划指标105%及以上，得10分；</w:t>
      </w:r>
    </w:p>
    <w:p>
      <w:pPr>
        <w:spacing w:line="360" w:lineRule="auto"/>
        <w:ind w:firstLine="602" w:firstLineChars="250"/>
        <w:rPr>
          <w:sz w:val="24"/>
          <w:szCs w:val="24"/>
        </w:rPr>
      </w:pPr>
      <w:r>
        <w:rPr>
          <w:b/>
          <w:sz w:val="24"/>
          <w:szCs w:val="24"/>
        </w:rPr>
        <w:t>2</w:t>
      </w:r>
      <w:r>
        <w:rPr>
          <w:sz w:val="24"/>
          <w:szCs w:val="24"/>
        </w:rPr>
        <w:t xml:space="preserve">) </w:t>
      </w:r>
      <w:r>
        <w:rPr>
          <w:rFonts w:hint="eastAsia"/>
          <w:sz w:val="24"/>
          <w:szCs w:val="24"/>
        </w:rPr>
        <w:t>绿地向公众开放，得6 分。</w:t>
      </w:r>
    </w:p>
    <w:p>
      <w:pPr>
        <w:spacing w:line="360" w:lineRule="auto"/>
        <w:outlineLvl w:val="2"/>
        <w:rPr>
          <w:sz w:val="24"/>
          <w:szCs w:val="24"/>
        </w:rPr>
      </w:pPr>
      <w:r>
        <w:rPr>
          <w:b/>
          <w:sz w:val="24"/>
          <w:szCs w:val="24"/>
        </w:rPr>
        <w:t>8.2.4</w:t>
      </w:r>
      <w:r>
        <w:rPr>
          <w:rFonts w:hint="eastAsia"/>
          <w:b/>
          <w:sz w:val="24"/>
          <w:szCs w:val="24"/>
        </w:rPr>
        <w:t xml:space="preserve">  </w:t>
      </w:r>
      <w:r>
        <w:rPr>
          <w:rFonts w:hint="eastAsia"/>
          <w:sz w:val="24"/>
          <w:szCs w:val="24"/>
        </w:rPr>
        <w:t>室外吸烟区位置布局合理，评价总分值为9 分，并按下列规则分别评分并累计：</w:t>
      </w:r>
    </w:p>
    <w:p>
      <w:pPr>
        <w:spacing w:line="360" w:lineRule="auto"/>
        <w:ind w:firstLine="482" w:firstLineChars="200"/>
        <w:rPr>
          <w:sz w:val="24"/>
          <w:szCs w:val="24"/>
        </w:rPr>
      </w:pPr>
      <w:r>
        <w:rPr>
          <w:b/>
          <w:sz w:val="24"/>
          <w:szCs w:val="24"/>
        </w:rPr>
        <w:t>1</w:t>
      </w:r>
      <w:r>
        <w:rPr>
          <w:rFonts w:hint="eastAsia"/>
          <w:sz w:val="24"/>
          <w:szCs w:val="24"/>
        </w:rPr>
        <w:t xml:space="preserve"> 室外吸烟区布置在建筑主出入口的主导风的下风向，与所有建筑出入口、新风进气口和可开启窗扇的距离不少于8m,且距离儿童和老人活动场地不少于8m,得5分；</w:t>
      </w:r>
    </w:p>
    <w:p>
      <w:pPr>
        <w:spacing w:line="360" w:lineRule="auto"/>
        <w:ind w:firstLine="482" w:firstLineChars="200"/>
        <w:rPr>
          <w:sz w:val="24"/>
          <w:szCs w:val="24"/>
        </w:rPr>
      </w:pPr>
      <w:r>
        <w:rPr>
          <w:b/>
          <w:sz w:val="24"/>
          <w:szCs w:val="24"/>
        </w:rPr>
        <w:t>2</w:t>
      </w:r>
      <w:r>
        <w:rPr>
          <w:rFonts w:hint="eastAsia"/>
          <w:sz w:val="24"/>
          <w:szCs w:val="24"/>
        </w:rPr>
        <w:t xml:space="preserve"> 室外吸烟区与绿植结合布置，并合理配置座椅和带烟头收集的垃圾筒，从建筑主出入口至室外吸烟区的导向标识完整、定位标识醒目，吸烟区设置吸烟有害健康的警示标识，得4分。</w:t>
      </w:r>
    </w:p>
    <w:p>
      <w:pPr>
        <w:spacing w:line="360" w:lineRule="auto"/>
        <w:outlineLvl w:val="2"/>
        <w:rPr>
          <w:sz w:val="24"/>
          <w:szCs w:val="24"/>
        </w:rPr>
      </w:pPr>
      <w:r>
        <w:rPr>
          <w:b/>
          <w:sz w:val="24"/>
          <w:szCs w:val="24"/>
        </w:rPr>
        <w:t>8.2.5</w:t>
      </w:r>
      <w:r>
        <w:rPr>
          <w:rFonts w:hint="eastAsia"/>
          <w:sz w:val="24"/>
          <w:szCs w:val="24"/>
        </w:rPr>
        <w:t xml:space="preserve">  利用场地空间设置绿色雨水基础设施，评价总分值为15分，并按下列规则分别评分并累计：</w:t>
      </w:r>
    </w:p>
    <w:p>
      <w:pPr>
        <w:spacing w:line="360" w:lineRule="auto"/>
        <w:ind w:firstLine="482" w:firstLineChars="200"/>
        <w:rPr>
          <w:sz w:val="24"/>
          <w:szCs w:val="24"/>
        </w:rPr>
      </w:pPr>
      <w:r>
        <w:rPr>
          <w:b/>
          <w:sz w:val="24"/>
          <w:szCs w:val="24"/>
        </w:rPr>
        <w:t>1</w:t>
      </w:r>
      <w:r>
        <w:rPr>
          <w:rFonts w:hint="eastAsia"/>
          <w:sz w:val="24"/>
          <w:szCs w:val="24"/>
        </w:rPr>
        <w:t xml:space="preserve"> 下凹式绿地、雨水花园等有调蓄雨水功能的绿地和水体的面积之和占绿地面积的比例达到40%,得3分；达到60%,得5 分；</w:t>
      </w:r>
    </w:p>
    <w:p>
      <w:pPr>
        <w:spacing w:line="360" w:lineRule="auto"/>
        <w:ind w:firstLine="482" w:firstLineChars="200"/>
        <w:rPr>
          <w:sz w:val="24"/>
          <w:szCs w:val="24"/>
        </w:rPr>
      </w:pPr>
      <w:r>
        <w:rPr>
          <w:b/>
          <w:sz w:val="24"/>
          <w:szCs w:val="24"/>
        </w:rPr>
        <w:t>2</w:t>
      </w:r>
      <w:r>
        <w:rPr>
          <w:rFonts w:hint="eastAsia"/>
          <w:sz w:val="24"/>
          <w:szCs w:val="24"/>
        </w:rPr>
        <w:t xml:space="preserve"> 衔接和引导不少于80%的屋面雨水进入地面生态设施，得3分；</w:t>
      </w:r>
    </w:p>
    <w:p>
      <w:pPr>
        <w:spacing w:line="360" w:lineRule="auto"/>
        <w:ind w:firstLine="482" w:firstLineChars="200"/>
        <w:rPr>
          <w:sz w:val="24"/>
          <w:szCs w:val="24"/>
        </w:rPr>
      </w:pPr>
      <w:r>
        <w:rPr>
          <w:b/>
          <w:sz w:val="24"/>
          <w:szCs w:val="24"/>
        </w:rPr>
        <w:t>3</w:t>
      </w:r>
      <w:r>
        <w:rPr>
          <w:rFonts w:hint="eastAsia"/>
          <w:sz w:val="24"/>
          <w:szCs w:val="24"/>
        </w:rPr>
        <w:t xml:space="preserve"> 衔接和引导不少于80%的道路雨水进入地面生态设施，得4分；</w:t>
      </w:r>
    </w:p>
    <w:p>
      <w:pPr>
        <w:spacing w:line="360" w:lineRule="auto"/>
        <w:ind w:firstLine="482" w:firstLineChars="200"/>
        <w:rPr>
          <w:rFonts w:hint="eastAsia"/>
          <w:sz w:val="24"/>
          <w:szCs w:val="24"/>
        </w:rPr>
      </w:pPr>
      <w:r>
        <w:rPr>
          <w:b/>
          <w:sz w:val="24"/>
          <w:szCs w:val="24"/>
        </w:rPr>
        <w:t>4</w:t>
      </w:r>
      <w:r>
        <w:rPr>
          <w:rFonts w:hint="eastAsia"/>
          <w:sz w:val="24"/>
          <w:szCs w:val="24"/>
        </w:rPr>
        <w:t xml:space="preserve"> 硬质铺装地面中透水铺装面积的比例达到50%,得3分。</w:t>
      </w:r>
    </w:p>
    <w:p>
      <w:pPr>
        <w:spacing w:line="360" w:lineRule="auto"/>
        <w:ind w:firstLine="480" w:firstLineChars="200"/>
        <w:rPr>
          <w:sz w:val="24"/>
          <w:szCs w:val="24"/>
        </w:rPr>
      </w:pPr>
    </w:p>
    <w:p>
      <w:pPr>
        <w:spacing w:line="360" w:lineRule="auto"/>
        <w:ind w:left="435" w:leftChars="150" w:hanging="120" w:hangingChars="50"/>
        <w:jc w:val="center"/>
        <w:rPr>
          <w:rFonts w:eastAsia="仿宋"/>
          <w:b/>
          <w:sz w:val="24"/>
          <w:szCs w:val="24"/>
        </w:rPr>
      </w:pPr>
      <w:r>
        <w:rPr>
          <w:rFonts w:hint="eastAsia" w:eastAsia="仿宋"/>
          <w:b/>
          <w:sz w:val="24"/>
          <w:szCs w:val="24"/>
        </w:rPr>
        <w:t>Ⅱ 室外物理环境</w:t>
      </w:r>
    </w:p>
    <w:p>
      <w:pPr>
        <w:spacing w:line="360" w:lineRule="auto"/>
        <w:outlineLvl w:val="2"/>
        <w:rPr>
          <w:sz w:val="24"/>
          <w:szCs w:val="24"/>
        </w:rPr>
      </w:pPr>
      <w:r>
        <w:rPr>
          <w:rFonts w:hint="eastAsia"/>
          <w:b/>
          <w:sz w:val="24"/>
          <w:szCs w:val="24"/>
        </w:rPr>
        <w:t>8.2.6</w:t>
      </w:r>
      <w:r>
        <w:rPr>
          <w:rFonts w:hint="eastAsia"/>
          <w:sz w:val="24"/>
          <w:szCs w:val="24"/>
        </w:rPr>
        <w:t xml:space="preserve">  场地内的环境噪声优于现行国家标准《声环境质量标准》GB3096的要求，评价总分值为10分，并按下列规则评分：</w:t>
      </w:r>
    </w:p>
    <w:p>
      <w:pPr>
        <w:spacing w:line="360" w:lineRule="auto"/>
        <w:ind w:firstLine="482" w:firstLineChars="200"/>
        <w:rPr>
          <w:sz w:val="24"/>
          <w:szCs w:val="24"/>
        </w:rPr>
      </w:pPr>
      <w:r>
        <w:rPr>
          <w:rFonts w:hint="eastAsia"/>
          <w:b/>
          <w:sz w:val="24"/>
          <w:szCs w:val="24"/>
        </w:rPr>
        <w:t>1</w:t>
      </w:r>
      <w:r>
        <w:rPr>
          <w:rFonts w:hint="eastAsia"/>
          <w:sz w:val="24"/>
          <w:szCs w:val="24"/>
        </w:rPr>
        <w:t xml:space="preserve"> 环境噪声值大于2类声环境功能区标准限值，且小于或等于3类声环境功能区标准限值，得5分。</w:t>
      </w:r>
    </w:p>
    <w:p>
      <w:pPr>
        <w:spacing w:line="360" w:lineRule="auto"/>
        <w:ind w:firstLine="482" w:firstLineChars="200"/>
        <w:rPr>
          <w:sz w:val="24"/>
          <w:szCs w:val="24"/>
        </w:rPr>
      </w:pPr>
      <w:r>
        <w:rPr>
          <w:rFonts w:hint="eastAsia"/>
          <w:b/>
          <w:sz w:val="24"/>
          <w:szCs w:val="24"/>
        </w:rPr>
        <w:t>2</w:t>
      </w:r>
      <w:r>
        <w:rPr>
          <w:rFonts w:hint="eastAsia"/>
          <w:sz w:val="24"/>
          <w:szCs w:val="24"/>
        </w:rPr>
        <w:t xml:space="preserve"> 环境噪声值小于或等于2类声环境功能区标准限值，得10分。</w:t>
      </w:r>
    </w:p>
    <w:p>
      <w:pPr>
        <w:spacing w:line="360" w:lineRule="auto"/>
        <w:outlineLvl w:val="2"/>
        <w:rPr>
          <w:sz w:val="24"/>
          <w:szCs w:val="24"/>
        </w:rPr>
      </w:pPr>
      <w:r>
        <w:rPr>
          <w:rFonts w:hint="eastAsia"/>
          <w:b/>
          <w:sz w:val="24"/>
          <w:szCs w:val="24"/>
        </w:rPr>
        <w:t>8.2.7</w:t>
      </w:r>
      <w:r>
        <w:rPr>
          <w:rFonts w:hint="eastAsia"/>
          <w:sz w:val="24"/>
          <w:szCs w:val="24"/>
        </w:rPr>
        <w:t xml:space="preserve">  建筑及照明设计避免产生光污染，评价总分值为10分，并按下列规则分别评分并累计：</w:t>
      </w:r>
    </w:p>
    <w:p>
      <w:pPr>
        <w:spacing w:line="360" w:lineRule="auto"/>
        <w:ind w:firstLine="482" w:firstLineChars="200"/>
        <w:rPr>
          <w:sz w:val="24"/>
          <w:szCs w:val="24"/>
        </w:rPr>
      </w:pPr>
      <w:r>
        <w:rPr>
          <w:rFonts w:hint="eastAsia"/>
          <w:b/>
          <w:sz w:val="24"/>
          <w:szCs w:val="24"/>
        </w:rPr>
        <w:t>1</w:t>
      </w:r>
      <w:r>
        <w:rPr>
          <w:rFonts w:hint="eastAsia"/>
          <w:sz w:val="24"/>
          <w:szCs w:val="24"/>
        </w:rPr>
        <w:t xml:space="preserve"> 玻璃幕墙的可见光反射比及反射光对周边环境的影响符合《玻璃幕墙光热性能》GB/T18091的规定，得5分；</w:t>
      </w:r>
    </w:p>
    <w:p>
      <w:pPr>
        <w:spacing w:line="360" w:lineRule="auto"/>
        <w:ind w:firstLine="482" w:firstLineChars="200"/>
        <w:rPr>
          <w:sz w:val="24"/>
          <w:szCs w:val="24"/>
        </w:rPr>
      </w:pPr>
      <w:r>
        <w:rPr>
          <w:rFonts w:hint="eastAsia"/>
          <w:b/>
          <w:sz w:val="24"/>
          <w:szCs w:val="24"/>
        </w:rPr>
        <w:t>2</w:t>
      </w:r>
      <w:r>
        <w:rPr>
          <w:rFonts w:hint="eastAsia"/>
          <w:sz w:val="24"/>
          <w:szCs w:val="24"/>
        </w:rPr>
        <w:t xml:space="preserve"> 室外夜景照明光污染的限制符合现行国家标准《室外照明干扰光限制规范》GB/T35626和现行行业标准《城市夜景照明设计规范》JGJ/T163的规定，得5分。</w:t>
      </w:r>
    </w:p>
    <w:p>
      <w:pPr>
        <w:spacing w:line="360" w:lineRule="auto"/>
        <w:outlineLvl w:val="2"/>
        <w:rPr>
          <w:sz w:val="24"/>
          <w:szCs w:val="24"/>
        </w:rPr>
      </w:pPr>
      <w:r>
        <w:rPr>
          <w:rFonts w:hint="eastAsia"/>
          <w:b/>
          <w:sz w:val="24"/>
          <w:szCs w:val="24"/>
        </w:rPr>
        <w:t>8.2.8</w:t>
      </w:r>
      <w:r>
        <w:rPr>
          <w:rFonts w:hint="eastAsia"/>
          <w:sz w:val="24"/>
          <w:szCs w:val="24"/>
        </w:rPr>
        <w:t xml:space="preserve">  场地内风环境有利于室外行走、活动舒适和建筑的自然通风，评价总分值为10分，并按下列规则分别评分并累计：</w:t>
      </w:r>
    </w:p>
    <w:p>
      <w:pPr>
        <w:spacing w:line="360" w:lineRule="auto"/>
        <w:ind w:firstLine="482" w:firstLineChars="200"/>
        <w:rPr>
          <w:sz w:val="24"/>
          <w:szCs w:val="24"/>
        </w:rPr>
      </w:pPr>
      <w:r>
        <w:rPr>
          <w:rFonts w:hint="eastAsia"/>
          <w:b/>
          <w:sz w:val="24"/>
          <w:szCs w:val="24"/>
        </w:rPr>
        <w:t>1</w:t>
      </w:r>
      <w:r>
        <w:rPr>
          <w:rFonts w:hint="eastAsia"/>
          <w:sz w:val="24"/>
          <w:szCs w:val="24"/>
        </w:rPr>
        <w:t xml:space="preserve"> 在冬季典型风速和风向条件下，按下列规则分别评分并累计：</w:t>
      </w:r>
    </w:p>
    <w:p>
      <w:pPr>
        <w:spacing w:line="360" w:lineRule="auto"/>
        <w:ind w:firstLine="723" w:firstLineChars="300"/>
        <w:rPr>
          <w:sz w:val="24"/>
          <w:szCs w:val="24"/>
        </w:rPr>
      </w:pPr>
      <w:r>
        <w:rPr>
          <w:rFonts w:hint="eastAsia"/>
          <w:b/>
          <w:sz w:val="24"/>
          <w:szCs w:val="24"/>
        </w:rPr>
        <w:t>1</w:t>
      </w:r>
      <w:r>
        <w:rPr>
          <w:rFonts w:hint="eastAsia"/>
          <w:sz w:val="24"/>
          <w:szCs w:val="24"/>
        </w:rPr>
        <w:t>) 建筑物周围人行区距地高1.5m处风速小于5m/s，户外休息区、儿童娱乐区风速小于2m/s,且室外风速放大系数小于2，得3分；</w:t>
      </w:r>
    </w:p>
    <w:p>
      <w:pPr>
        <w:spacing w:line="360" w:lineRule="auto"/>
        <w:ind w:left="630" w:leftChars="300" w:firstLine="120" w:firstLineChars="50"/>
        <w:rPr>
          <w:sz w:val="24"/>
          <w:szCs w:val="24"/>
        </w:rPr>
      </w:pPr>
      <w:r>
        <w:rPr>
          <w:rFonts w:hint="eastAsia"/>
          <w:b/>
          <w:sz w:val="24"/>
          <w:szCs w:val="24"/>
        </w:rPr>
        <w:t>2</w:t>
      </w:r>
      <w:r>
        <w:rPr>
          <w:rFonts w:hint="eastAsia"/>
          <w:sz w:val="24"/>
          <w:szCs w:val="24"/>
        </w:rPr>
        <w:t>) 除迎风第一排建筑外，建筑迎风面与背风面表面风压差不大于5Pa，得2分。</w:t>
      </w:r>
    </w:p>
    <w:p>
      <w:pPr>
        <w:spacing w:line="360" w:lineRule="auto"/>
        <w:ind w:firstLine="482" w:firstLineChars="200"/>
        <w:rPr>
          <w:sz w:val="24"/>
          <w:szCs w:val="24"/>
        </w:rPr>
      </w:pPr>
      <w:r>
        <w:rPr>
          <w:rFonts w:hint="eastAsia"/>
          <w:b/>
          <w:sz w:val="24"/>
          <w:szCs w:val="24"/>
        </w:rPr>
        <w:t>2</w:t>
      </w:r>
      <w:r>
        <w:rPr>
          <w:rFonts w:hint="eastAsia"/>
          <w:sz w:val="24"/>
          <w:szCs w:val="24"/>
        </w:rPr>
        <w:t xml:space="preserve"> 过渡季、夏季典型风速和风向条件下，按下列规则分别评分并累计：</w:t>
      </w:r>
    </w:p>
    <w:p>
      <w:pPr>
        <w:spacing w:line="360" w:lineRule="auto"/>
        <w:ind w:firstLine="723" w:firstLineChars="300"/>
        <w:rPr>
          <w:sz w:val="24"/>
          <w:szCs w:val="24"/>
        </w:rPr>
      </w:pPr>
      <w:r>
        <w:rPr>
          <w:rFonts w:hint="eastAsia"/>
          <w:b/>
          <w:sz w:val="24"/>
          <w:szCs w:val="24"/>
        </w:rPr>
        <w:t>1</w:t>
      </w:r>
      <w:r>
        <w:rPr>
          <w:rFonts w:hint="eastAsia"/>
          <w:sz w:val="24"/>
          <w:szCs w:val="24"/>
        </w:rPr>
        <w:t>) 场地内人活动区不出现涡旋或无风区，得3分；</w:t>
      </w:r>
    </w:p>
    <w:p>
      <w:pPr>
        <w:spacing w:line="360" w:lineRule="auto"/>
        <w:ind w:firstLine="723" w:firstLineChars="300"/>
        <w:rPr>
          <w:sz w:val="24"/>
          <w:szCs w:val="24"/>
        </w:rPr>
      </w:pPr>
      <w:r>
        <w:rPr>
          <w:rFonts w:hint="eastAsia"/>
          <w:b/>
          <w:sz w:val="24"/>
          <w:szCs w:val="24"/>
        </w:rPr>
        <w:t>2</w:t>
      </w:r>
      <w:r>
        <w:rPr>
          <w:rFonts w:hint="eastAsia"/>
          <w:sz w:val="24"/>
          <w:szCs w:val="24"/>
        </w:rPr>
        <w:t>) 50%以上可开启外窗室内外表面的风压差大于0.5Pa，得2分。</w:t>
      </w:r>
    </w:p>
    <w:p>
      <w:pPr>
        <w:spacing w:line="360" w:lineRule="auto"/>
        <w:outlineLvl w:val="2"/>
        <w:rPr>
          <w:sz w:val="24"/>
          <w:szCs w:val="24"/>
        </w:rPr>
      </w:pPr>
      <w:r>
        <w:rPr>
          <w:rFonts w:hint="eastAsia"/>
          <w:b/>
          <w:sz w:val="24"/>
          <w:szCs w:val="24"/>
        </w:rPr>
        <w:t>8.2.9</w:t>
      </w:r>
      <w:r>
        <w:rPr>
          <w:rFonts w:hint="eastAsia"/>
          <w:sz w:val="24"/>
          <w:szCs w:val="24"/>
        </w:rPr>
        <w:t xml:space="preserve">  采取措施降低热岛强度，评价总分值为4分，按下列规则分别评分并累计：</w:t>
      </w:r>
    </w:p>
    <w:p>
      <w:pPr>
        <w:spacing w:line="360" w:lineRule="auto"/>
        <w:ind w:firstLine="482" w:firstLineChars="200"/>
        <w:rPr>
          <w:sz w:val="24"/>
          <w:szCs w:val="24"/>
        </w:rPr>
      </w:pPr>
      <w:r>
        <w:rPr>
          <w:rFonts w:hint="eastAsia"/>
          <w:b/>
          <w:sz w:val="24"/>
          <w:szCs w:val="24"/>
        </w:rPr>
        <w:t>1</w:t>
      </w:r>
      <w:r>
        <w:rPr>
          <w:rFonts w:hint="eastAsia"/>
          <w:sz w:val="24"/>
          <w:szCs w:val="24"/>
        </w:rPr>
        <w:t xml:space="preserve"> 场地中处于建筑阴影区外的步道、游憩场、庭院、广场等室外活动场地设有乔木、花架等遮阴措施的面积比例，住宅建筑达到30%，公共建筑达到10%，得1分；住宅建筑达到50%，公共建筑达到20%，得2分；</w:t>
      </w:r>
    </w:p>
    <w:p>
      <w:pPr>
        <w:spacing w:line="360" w:lineRule="auto"/>
        <w:ind w:firstLine="482" w:firstLineChars="200"/>
        <w:rPr>
          <w:sz w:val="24"/>
          <w:szCs w:val="24"/>
        </w:rPr>
      </w:pPr>
      <w:r>
        <w:rPr>
          <w:rFonts w:hint="eastAsia"/>
          <w:b/>
          <w:sz w:val="24"/>
          <w:szCs w:val="24"/>
        </w:rPr>
        <w:t>2</w:t>
      </w:r>
      <w:r>
        <w:rPr>
          <w:rFonts w:hint="eastAsia"/>
          <w:sz w:val="24"/>
          <w:szCs w:val="24"/>
        </w:rPr>
        <w:t xml:space="preserve"> 场地中处于建筑阴影区外的机动车道，路面太阳辐射反射系数不小于0.4或设有遮阴面积较大的行道树的路段长度超过70%，得1分；</w:t>
      </w:r>
    </w:p>
    <w:p>
      <w:pPr>
        <w:spacing w:line="360" w:lineRule="auto"/>
        <w:ind w:firstLine="482" w:firstLineChars="200"/>
        <w:rPr>
          <w:sz w:val="24"/>
          <w:szCs w:val="24"/>
        </w:rPr>
      </w:pPr>
      <w:r>
        <w:rPr>
          <w:rFonts w:hint="eastAsia"/>
          <w:b/>
          <w:sz w:val="24"/>
          <w:szCs w:val="24"/>
        </w:rPr>
        <w:t>3</w:t>
      </w:r>
      <w:r>
        <w:rPr>
          <w:rFonts w:hint="eastAsia"/>
          <w:sz w:val="24"/>
          <w:szCs w:val="24"/>
        </w:rPr>
        <w:t xml:space="preserve"> 屋顶的绿化面积、太阳能板水平投影面积以及太阳辐射反射系数不小于0.4的屋面面积合计达到75%，得1分。</w:t>
      </w:r>
    </w:p>
    <w:p>
      <w:pPr>
        <w:spacing w:line="360" w:lineRule="auto"/>
        <w:outlineLvl w:val="2"/>
        <w:rPr>
          <w:sz w:val="24"/>
          <w:szCs w:val="24"/>
        </w:rPr>
      </w:pPr>
      <w:r>
        <w:rPr>
          <w:rFonts w:hint="eastAsia"/>
          <w:b/>
          <w:sz w:val="24"/>
          <w:szCs w:val="24"/>
        </w:rPr>
        <w:t xml:space="preserve">8.2.10  </w:t>
      </w:r>
      <w:r>
        <w:rPr>
          <w:sz w:val="24"/>
          <w:szCs w:val="24"/>
        </w:rPr>
        <w:t>利用底层架空和骑楼等形式改善通风环境和增加室外活动场地，评分总分为</w:t>
      </w:r>
      <w:r>
        <w:rPr>
          <w:rFonts w:hint="eastAsia"/>
          <w:sz w:val="24"/>
          <w:szCs w:val="24"/>
        </w:rPr>
        <w:t>6</w:t>
      </w:r>
      <w:r>
        <w:rPr>
          <w:sz w:val="24"/>
          <w:szCs w:val="24"/>
        </w:rPr>
        <w:t>分。</w:t>
      </w:r>
    </w:p>
    <w:p>
      <w:pPr>
        <w:spacing w:line="360" w:lineRule="auto"/>
        <w:jc w:val="center"/>
        <w:rPr>
          <w:rFonts w:eastAsia="黑体"/>
          <w:b/>
          <w:sz w:val="22"/>
          <w:szCs w:val="24"/>
        </w:rPr>
      </w:pPr>
      <w:r>
        <w:rPr>
          <w:rFonts w:eastAsia="黑体"/>
          <w:b/>
          <w:bCs/>
          <w:sz w:val="22"/>
          <w:szCs w:val="24"/>
        </w:rPr>
        <w:tab/>
      </w:r>
      <w:r>
        <w:rPr>
          <w:rFonts w:eastAsia="黑体"/>
          <w:b/>
          <w:bCs/>
          <w:sz w:val="22"/>
          <w:szCs w:val="24"/>
        </w:rPr>
        <w:t>表</w:t>
      </w:r>
      <w:r>
        <w:rPr>
          <w:rFonts w:hint="eastAsia" w:eastAsia="黑体"/>
          <w:b/>
          <w:bCs/>
          <w:sz w:val="22"/>
          <w:szCs w:val="24"/>
        </w:rPr>
        <w:t>8.2.10</w:t>
      </w:r>
      <w:r>
        <w:rPr>
          <w:rFonts w:eastAsia="黑体"/>
          <w:b/>
          <w:bCs/>
          <w:sz w:val="22"/>
          <w:szCs w:val="24"/>
        </w:rPr>
        <w:t xml:space="preserve"> 利用底层架空和骑楼形式评分规则</w:t>
      </w:r>
    </w:p>
    <w:tbl>
      <w:tblPr>
        <w:tblStyle w:val="11"/>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26"/>
        <w:gridCol w:w="4474"/>
        <w:gridCol w:w="2859"/>
        <w:gridCol w:w="10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Pr>
        <w:tc>
          <w:tcPr>
            <w:tcW w:w="727" w:type="pct"/>
            <w:tcBorders>
              <w:top w:val="single" w:color="auto" w:sz="4" w:space="0"/>
              <w:left w:val="single" w:color="auto" w:sz="4" w:space="0"/>
              <w:bottom w:val="single" w:color="auto" w:sz="4" w:space="0"/>
              <w:right w:val="single" w:color="auto" w:sz="4" w:space="0"/>
            </w:tcBorders>
            <w:noWrap w:val="0"/>
            <w:vAlign w:val="center"/>
          </w:tcPr>
          <w:p>
            <w:pPr>
              <w:pStyle w:val="21"/>
              <w:spacing w:line="360" w:lineRule="auto"/>
              <w:rPr>
                <w:rFonts w:ascii="Times New Roman" w:hAnsi="Times New Roman"/>
                <w:szCs w:val="24"/>
              </w:rPr>
            </w:pPr>
            <w:r>
              <w:rPr>
                <w:rFonts w:ascii="Times New Roman" w:hAnsi="Times New Roman"/>
                <w:szCs w:val="24"/>
              </w:rPr>
              <w:t>建筑类型</w:t>
            </w:r>
          </w:p>
        </w:tc>
        <w:tc>
          <w:tcPr>
            <w:tcW w:w="3742" w:type="pct"/>
            <w:gridSpan w:val="2"/>
            <w:tcBorders>
              <w:top w:val="single" w:color="auto" w:sz="4" w:space="0"/>
              <w:left w:val="single" w:color="auto" w:sz="4" w:space="0"/>
              <w:bottom w:val="single" w:color="auto" w:sz="4" w:space="0"/>
              <w:right w:val="single" w:color="auto" w:sz="4" w:space="0"/>
            </w:tcBorders>
            <w:noWrap w:val="0"/>
            <w:vAlign w:val="center"/>
          </w:tcPr>
          <w:p>
            <w:pPr>
              <w:pStyle w:val="21"/>
              <w:spacing w:line="360" w:lineRule="auto"/>
              <w:rPr>
                <w:rFonts w:ascii="Times New Roman" w:hAnsi="Times New Roman"/>
                <w:szCs w:val="24"/>
              </w:rPr>
            </w:pPr>
            <w:r>
              <w:rPr>
                <w:rFonts w:ascii="Times New Roman" w:hAnsi="Times New Roman"/>
                <w:szCs w:val="24"/>
              </w:rPr>
              <w:t>底层架空和骑楼形式利用指标</w:t>
            </w:r>
          </w:p>
        </w:tc>
        <w:tc>
          <w:tcPr>
            <w:tcW w:w="530" w:type="pct"/>
            <w:tcBorders>
              <w:top w:val="single" w:color="auto" w:sz="4" w:space="0"/>
              <w:left w:val="single" w:color="auto" w:sz="4" w:space="0"/>
              <w:bottom w:val="single" w:color="auto" w:sz="4" w:space="0"/>
              <w:right w:val="single" w:color="auto" w:sz="4" w:space="0"/>
            </w:tcBorders>
            <w:noWrap w:val="0"/>
            <w:vAlign w:val="center"/>
          </w:tcPr>
          <w:p>
            <w:pPr>
              <w:pStyle w:val="21"/>
              <w:spacing w:line="360" w:lineRule="auto"/>
              <w:rPr>
                <w:rFonts w:ascii="Times New Roman" w:hAnsi="Times New Roman"/>
                <w:szCs w:val="24"/>
              </w:rPr>
            </w:pPr>
            <w:r>
              <w:rPr>
                <w:rFonts w:ascii="Times New Roman" w:hAnsi="Times New Roman"/>
                <w:szCs w:val="24"/>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Pr>
        <w:tc>
          <w:tcPr>
            <w:tcW w:w="727" w:type="pct"/>
            <w:vMerge w:val="restart"/>
            <w:tcBorders>
              <w:top w:val="single" w:color="auto" w:sz="4" w:space="0"/>
              <w:left w:val="single" w:color="auto" w:sz="4" w:space="0"/>
              <w:bottom w:val="single" w:color="auto" w:sz="4" w:space="0"/>
              <w:right w:val="single" w:color="auto" w:sz="4" w:space="0"/>
            </w:tcBorders>
            <w:noWrap w:val="0"/>
            <w:vAlign w:val="center"/>
          </w:tcPr>
          <w:p>
            <w:pPr>
              <w:pStyle w:val="21"/>
              <w:spacing w:line="360" w:lineRule="auto"/>
              <w:rPr>
                <w:rFonts w:ascii="Times New Roman" w:hAnsi="Times New Roman"/>
                <w:szCs w:val="24"/>
              </w:rPr>
            </w:pPr>
            <w:r>
              <w:rPr>
                <w:rFonts w:ascii="Times New Roman" w:hAnsi="Times New Roman"/>
                <w:szCs w:val="24"/>
              </w:rPr>
              <w:t>居住建筑</w:t>
            </w:r>
          </w:p>
        </w:tc>
        <w:tc>
          <w:tcPr>
            <w:tcW w:w="2283" w:type="pct"/>
            <w:vMerge w:val="restart"/>
            <w:tcBorders>
              <w:top w:val="single" w:color="auto" w:sz="4" w:space="0"/>
              <w:left w:val="single" w:color="auto" w:sz="4" w:space="0"/>
              <w:bottom w:val="single" w:color="auto" w:sz="4" w:space="0"/>
              <w:right w:val="single" w:color="auto" w:sz="4" w:space="0"/>
            </w:tcBorders>
            <w:noWrap w:val="0"/>
            <w:vAlign w:val="center"/>
          </w:tcPr>
          <w:p>
            <w:pPr>
              <w:pStyle w:val="21"/>
              <w:spacing w:line="360" w:lineRule="auto"/>
              <w:rPr>
                <w:rFonts w:ascii="Times New Roman" w:hAnsi="Times New Roman"/>
                <w:szCs w:val="24"/>
              </w:rPr>
            </w:pPr>
            <w:r>
              <w:rPr>
                <w:rFonts w:ascii="Times New Roman" w:hAnsi="Times New Roman"/>
                <w:szCs w:val="24"/>
              </w:rPr>
              <w:t>住区底层架空面积与建筑占地面积的比率R</w:t>
            </w:r>
            <w:r>
              <w:rPr>
                <w:rFonts w:ascii="Times New Roman" w:hAnsi="Times New Roman"/>
                <w:szCs w:val="24"/>
                <w:vertAlign w:val="subscript"/>
              </w:rPr>
              <w:t>re</w:t>
            </w:r>
          </w:p>
        </w:tc>
        <w:tc>
          <w:tcPr>
            <w:tcW w:w="1459" w:type="pct"/>
            <w:tcBorders>
              <w:top w:val="single" w:color="auto" w:sz="4" w:space="0"/>
              <w:left w:val="single" w:color="auto" w:sz="4" w:space="0"/>
              <w:bottom w:val="single" w:color="auto" w:sz="4" w:space="0"/>
              <w:right w:val="single" w:color="auto" w:sz="4" w:space="0"/>
            </w:tcBorders>
            <w:noWrap w:val="0"/>
            <w:vAlign w:val="center"/>
          </w:tcPr>
          <w:p>
            <w:pPr>
              <w:pStyle w:val="21"/>
              <w:spacing w:line="360" w:lineRule="auto"/>
              <w:rPr>
                <w:rFonts w:ascii="Times New Roman" w:hAnsi="Times New Roman"/>
                <w:szCs w:val="24"/>
              </w:rPr>
            </w:pPr>
            <w:r>
              <w:rPr>
                <w:rFonts w:ascii="Times New Roman" w:hAnsi="Times New Roman"/>
                <w:szCs w:val="24"/>
              </w:rPr>
              <w:t>20%＜R</w:t>
            </w:r>
            <w:r>
              <w:rPr>
                <w:rFonts w:ascii="Times New Roman" w:hAnsi="Times New Roman"/>
                <w:szCs w:val="24"/>
                <w:vertAlign w:val="subscript"/>
              </w:rPr>
              <w:t>re</w:t>
            </w:r>
            <w:r>
              <w:rPr>
                <w:rFonts w:ascii="Times New Roman" w:hAnsi="Times New Roman"/>
                <w:szCs w:val="24"/>
              </w:rPr>
              <w:t>≤40%</w:t>
            </w:r>
          </w:p>
        </w:tc>
        <w:tc>
          <w:tcPr>
            <w:tcW w:w="530" w:type="pct"/>
            <w:tcBorders>
              <w:top w:val="single" w:color="auto" w:sz="4" w:space="0"/>
              <w:left w:val="single" w:color="auto" w:sz="4" w:space="0"/>
              <w:bottom w:val="single" w:color="auto" w:sz="4" w:space="0"/>
              <w:right w:val="single" w:color="auto" w:sz="4" w:space="0"/>
            </w:tcBorders>
            <w:noWrap w:val="0"/>
            <w:vAlign w:val="center"/>
          </w:tcPr>
          <w:p>
            <w:pPr>
              <w:pStyle w:val="21"/>
              <w:spacing w:line="360" w:lineRule="auto"/>
              <w:rPr>
                <w:rFonts w:ascii="Times New Roman" w:hAnsi="Times New Roman"/>
                <w:szCs w:val="24"/>
              </w:rPr>
            </w:pPr>
            <w:r>
              <w:rPr>
                <w:rFonts w:ascii="Times New Roman" w:hAnsi="Times New Roman"/>
                <w:szCs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Pr>
        <w:tc>
          <w:tcPr>
            <w:tcW w:w="727" w:type="pct"/>
            <w:vMerge w:val="continue"/>
            <w:tcBorders>
              <w:top w:val="single" w:color="auto" w:sz="4" w:space="0"/>
              <w:left w:val="single" w:color="auto" w:sz="4" w:space="0"/>
              <w:bottom w:val="single" w:color="auto" w:sz="4" w:space="0"/>
              <w:right w:val="single" w:color="auto" w:sz="4" w:space="0"/>
            </w:tcBorders>
            <w:noWrap w:val="0"/>
            <w:vAlign w:val="center"/>
          </w:tcPr>
          <w:p>
            <w:pPr>
              <w:pStyle w:val="21"/>
              <w:spacing w:line="360" w:lineRule="auto"/>
              <w:rPr>
                <w:rFonts w:ascii="Times New Roman" w:hAnsi="Times New Roman"/>
                <w:szCs w:val="24"/>
              </w:rPr>
            </w:pPr>
          </w:p>
        </w:tc>
        <w:tc>
          <w:tcPr>
            <w:tcW w:w="2283" w:type="pct"/>
            <w:vMerge w:val="continue"/>
            <w:tcBorders>
              <w:top w:val="single" w:color="auto" w:sz="4" w:space="0"/>
              <w:left w:val="single" w:color="auto" w:sz="4" w:space="0"/>
              <w:bottom w:val="single" w:color="auto" w:sz="4" w:space="0"/>
              <w:right w:val="single" w:color="auto" w:sz="4" w:space="0"/>
            </w:tcBorders>
            <w:noWrap w:val="0"/>
            <w:vAlign w:val="center"/>
          </w:tcPr>
          <w:p>
            <w:pPr>
              <w:pStyle w:val="21"/>
              <w:spacing w:line="360" w:lineRule="auto"/>
              <w:rPr>
                <w:rFonts w:ascii="Times New Roman" w:hAnsi="Times New Roman"/>
                <w:szCs w:val="24"/>
              </w:rPr>
            </w:pPr>
          </w:p>
        </w:tc>
        <w:tc>
          <w:tcPr>
            <w:tcW w:w="1459" w:type="pct"/>
            <w:tcBorders>
              <w:top w:val="single" w:color="auto" w:sz="4" w:space="0"/>
              <w:left w:val="single" w:color="auto" w:sz="4" w:space="0"/>
              <w:bottom w:val="single" w:color="auto" w:sz="4" w:space="0"/>
              <w:right w:val="single" w:color="auto" w:sz="4" w:space="0"/>
            </w:tcBorders>
            <w:noWrap w:val="0"/>
            <w:vAlign w:val="center"/>
          </w:tcPr>
          <w:p>
            <w:pPr>
              <w:pStyle w:val="21"/>
              <w:spacing w:line="360" w:lineRule="auto"/>
              <w:rPr>
                <w:rFonts w:ascii="Times New Roman" w:hAnsi="Times New Roman"/>
                <w:szCs w:val="24"/>
              </w:rPr>
            </w:pPr>
            <w:r>
              <w:rPr>
                <w:rFonts w:ascii="Times New Roman" w:hAnsi="Times New Roman"/>
                <w:szCs w:val="24"/>
              </w:rPr>
              <w:t>40%＜R</w:t>
            </w:r>
            <w:r>
              <w:rPr>
                <w:rFonts w:ascii="Times New Roman" w:hAnsi="Times New Roman"/>
                <w:szCs w:val="24"/>
                <w:vertAlign w:val="subscript"/>
              </w:rPr>
              <w:t>re</w:t>
            </w:r>
            <w:r>
              <w:rPr>
                <w:rFonts w:ascii="Times New Roman" w:hAnsi="Times New Roman"/>
                <w:szCs w:val="24"/>
              </w:rPr>
              <w:t>≤50%</w:t>
            </w:r>
          </w:p>
        </w:tc>
        <w:tc>
          <w:tcPr>
            <w:tcW w:w="530" w:type="pct"/>
            <w:tcBorders>
              <w:top w:val="single" w:color="auto" w:sz="4" w:space="0"/>
              <w:left w:val="single" w:color="auto" w:sz="4" w:space="0"/>
              <w:bottom w:val="single" w:color="auto" w:sz="4" w:space="0"/>
              <w:right w:val="single" w:color="auto" w:sz="4" w:space="0"/>
            </w:tcBorders>
            <w:noWrap w:val="0"/>
            <w:vAlign w:val="center"/>
          </w:tcPr>
          <w:p>
            <w:pPr>
              <w:pStyle w:val="21"/>
              <w:spacing w:line="360" w:lineRule="auto"/>
              <w:rPr>
                <w:rFonts w:ascii="Times New Roman" w:hAnsi="Times New Roman"/>
                <w:szCs w:val="24"/>
              </w:rPr>
            </w:pPr>
            <w:r>
              <w:rPr>
                <w:rFonts w:hint="eastAsia" w:ascii="Times New Roman" w:hAnsi="Times New Roman"/>
                <w:szCs w:val="24"/>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Pr>
        <w:tc>
          <w:tcPr>
            <w:tcW w:w="727" w:type="pct"/>
            <w:vMerge w:val="continue"/>
            <w:tcBorders>
              <w:top w:val="single" w:color="auto" w:sz="4" w:space="0"/>
              <w:left w:val="single" w:color="auto" w:sz="4" w:space="0"/>
              <w:bottom w:val="single" w:color="auto" w:sz="4" w:space="0"/>
              <w:right w:val="single" w:color="auto" w:sz="4" w:space="0"/>
            </w:tcBorders>
            <w:noWrap w:val="0"/>
            <w:vAlign w:val="center"/>
          </w:tcPr>
          <w:p>
            <w:pPr>
              <w:pStyle w:val="21"/>
              <w:spacing w:line="360" w:lineRule="auto"/>
              <w:rPr>
                <w:rFonts w:ascii="Times New Roman" w:hAnsi="Times New Roman"/>
                <w:szCs w:val="24"/>
              </w:rPr>
            </w:pPr>
          </w:p>
        </w:tc>
        <w:tc>
          <w:tcPr>
            <w:tcW w:w="2283" w:type="pct"/>
            <w:vMerge w:val="continue"/>
            <w:tcBorders>
              <w:top w:val="single" w:color="auto" w:sz="4" w:space="0"/>
              <w:left w:val="single" w:color="auto" w:sz="4" w:space="0"/>
              <w:bottom w:val="single" w:color="auto" w:sz="4" w:space="0"/>
              <w:right w:val="single" w:color="auto" w:sz="4" w:space="0"/>
            </w:tcBorders>
            <w:noWrap w:val="0"/>
            <w:vAlign w:val="center"/>
          </w:tcPr>
          <w:p>
            <w:pPr>
              <w:pStyle w:val="21"/>
              <w:spacing w:line="360" w:lineRule="auto"/>
              <w:rPr>
                <w:rFonts w:ascii="Times New Roman" w:hAnsi="Times New Roman"/>
                <w:szCs w:val="24"/>
              </w:rPr>
            </w:pPr>
          </w:p>
        </w:tc>
        <w:tc>
          <w:tcPr>
            <w:tcW w:w="1459" w:type="pct"/>
            <w:tcBorders>
              <w:top w:val="single" w:color="auto" w:sz="4" w:space="0"/>
              <w:left w:val="single" w:color="auto" w:sz="4" w:space="0"/>
              <w:bottom w:val="single" w:color="auto" w:sz="4" w:space="0"/>
              <w:right w:val="single" w:color="auto" w:sz="4" w:space="0"/>
            </w:tcBorders>
            <w:noWrap w:val="0"/>
            <w:vAlign w:val="center"/>
          </w:tcPr>
          <w:p>
            <w:pPr>
              <w:pStyle w:val="21"/>
              <w:spacing w:line="360" w:lineRule="auto"/>
              <w:rPr>
                <w:rFonts w:ascii="Times New Roman" w:hAnsi="Times New Roman"/>
                <w:szCs w:val="24"/>
              </w:rPr>
            </w:pPr>
            <w:r>
              <w:rPr>
                <w:rFonts w:ascii="Times New Roman" w:hAnsi="Times New Roman"/>
                <w:szCs w:val="24"/>
              </w:rPr>
              <w:t>R</w:t>
            </w:r>
            <w:r>
              <w:rPr>
                <w:rFonts w:ascii="Times New Roman" w:hAnsi="Times New Roman"/>
                <w:szCs w:val="24"/>
                <w:vertAlign w:val="subscript"/>
              </w:rPr>
              <w:t>re</w:t>
            </w:r>
            <w:r>
              <w:rPr>
                <w:rFonts w:ascii="Times New Roman" w:hAnsi="Times New Roman"/>
                <w:szCs w:val="24"/>
              </w:rPr>
              <w:t>＞50%</w:t>
            </w:r>
          </w:p>
        </w:tc>
        <w:tc>
          <w:tcPr>
            <w:tcW w:w="530" w:type="pct"/>
            <w:tcBorders>
              <w:top w:val="single" w:color="auto" w:sz="4" w:space="0"/>
              <w:left w:val="single" w:color="auto" w:sz="4" w:space="0"/>
              <w:bottom w:val="single" w:color="auto" w:sz="4" w:space="0"/>
              <w:right w:val="single" w:color="auto" w:sz="4" w:space="0"/>
            </w:tcBorders>
            <w:noWrap w:val="0"/>
            <w:vAlign w:val="center"/>
          </w:tcPr>
          <w:p>
            <w:pPr>
              <w:pStyle w:val="21"/>
              <w:spacing w:line="360" w:lineRule="auto"/>
              <w:rPr>
                <w:rFonts w:ascii="Times New Roman" w:hAnsi="Times New Roman"/>
                <w:szCs w:val="24"/>
              </w:rPr>
            </w:pPr>
            <w:r>
              <w:rPr>
                <w:rFonts w:hint="eastAsia" w:ascii="Times New Roman" w:hAnsi="Times New Roman"/>
                <w:szCs w:val="24"/>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Pr>
        <w:tc>
          <w:tcPr>
            <w:tcW w:w="727" w:type="pct"/>
            <w:vMerge w:val="restart"/>
            <w:tcBorders>
              <w:top w:val="single" w:color="auto" w:sz="4" w:space="0"/>
              <w:left w:val="single" w:color="auto" w:sz="4" w:space="0"/>
              <w:bottom w:val="single" w:color="auto" w:sz="4" w:space="0"/>
              <w:right w:val="single" w:color="auto" w:sz="4" w:space="0"/>
            </w:tcBorders>
            <w:noWrap w:val="0"/>
            <w:vAlign w:val="center"/>
          </w:tcPr>
          <w:p>
            <w:pPr>
              <w:pStyle w:val="21"/>
              <w:spacing w:line="360" w:lineRule="auto"/>
              <w:rPr>
                <w:rFonts w:ascii="Times New Roman" w:hAnsi="Times New Roman"/>
                <w:szCs w:val="24"/>
              </w:rPr>
            </w:pPr>
            <w:r>
              <w:rPr>
                <w:rFonts w:ascii="Times New Roman" w:hAnsi="Times New Roman"/>
                <w:szCs w:val="24"/>
              </w:rPr>
              <w:t>公共建筑</w:t>
            </w:r>
          </w:p>
        </w:tc>
        <w:tc>
          <w:tcPr>
            <w:tcW w:w="2283" w:type="pct"/>
            <w:vMerge w:val="restart"/>
            <w:tcBorders>
              <w:top w:val="single" w:color="auto" w:sz="4" w:space="0"/>
              <w:left w:val="single" w:color="auto" w:sz="4" w:space="0"/>
              <w:bottom w:val="single" w:color="auto" w:sz="4" w:space="0"/>
              <w:right w:val="single" w:color="auto" w:sz="4" w:space="0"/>
            </w:tcBorders>
            <w:noWrap w:val="0"/>
            <w:vAlign w:val="center"/>
          </w:tcPr>
          <w:p>
            <w:pPr>
              <w:pStyle w:val="21"/>
              <w:spacing w:line="360" w:lineRule="auto"/>
              <w:rPr>
                <w:rFonts w:ascii="Times New Roman" w:hAnsi="Times New Roman"/>
                <w:szCs w:val="24"/>
              </w:rPr>
            </w:pPr>
            <w:r>
              <w:rPr>
                <w:rFonts w:ascii="Times New Roman" w:hAnsi="Times New Roman"/>
                <w:szCs w:val="24"/>
              </w:rPr>
              <w:t>公共建筑底层架空面积与建筑占地面积的比率R</w:t>
            </w:r>
            <w:r>
              <w:rPr>
                <w:rFonts w:ascii="Times New Roman" w:hAnsi="Times New Roman"/>
                <w:szCs w:val="24"/>
                <w:vertAlign w:val="subscript"/>
              </w:rPr>
              <w:t xml:space="preserve">pe  </w:t>
            </w:r>
            <w:r>
              <w:rPr>
                <w:rFonts w:ascii="Times New Roman" w:hAnsi="Times New Roman"/>
                <w:szCs w:val="24"/>
              </w:rPr>
              <w:t>或公共建筑沿街面骑楼长度与建筑沿街面长度的比率R</w:t>
            </w:r>
            <w:r>
              <w:rPr>
                <w:rFonts w:ascii="Times New Roman" w:hAnsi="Times New Roman"/>
                <w:szCs w:val="24"/>
                <w:vertAlign w:val="subscript"/>
              </w:rPr>
              <w:t>po</w:t>
            </w:r>
          </w:p>
        </w:tc>
        <w:tc>
          <w:tcPr>
            <w:tcW w:w="1459" w:type="pct"/>
            <w:tcBorders>
              <w:top w:val="single" w:color="auto" w:sz="4" w:space="0"/>
              <w:left w:val="single" w:color="auto" w:sz="4" w:space="0"/>
              <w:bottom w:val="single" w:color="auto" w:sz="4" w:space="0"/>
              <w:right w:val="single" w:color="auto" w:sz="4" w:space="0"/>
            </w:tcBorders>
            <w:noWrap w:val="0"/>
            <w:vAlign w:val="center"/>
          </w:tcPr>
          <w:p>
            <w:pPr>
              <w:pStyle w:val="21"/>
              <w:spacing w:line="360" w:lineRule="auto"/>
              <w:rPr>
                <w:rFonts w:ascii="Times New Roman" w:hAnsi="Times New Roman"/>
                <w:szCs w:val="24"/>
              </w:rPr>
            </w:pPr>
            <w:r>
              <w:rPr>
                <w:rFonts w:ascii="Times New Roman" w:hAnsi="Times New Roman"/>
                <w:szCs w:val="24"/>
              </w:rPr>
              <w:t>20%＜R</w:t>
            </w:r>
            <w:r>
              <w:rPr>
                <w:rFonts w:ascii="Times New Roman" w:hAnsi="Times New Roman"/>
                <w:szCs w:val="24"/>
                <w:vertAlign w:val="subscript"/>
              </w:rPr>
              <w:t>pe</w:t>
            </w:r>
            <w:r>
              <w:rPr>
                <w:rFonts w:ascii="Times New Roman" w:hAnsi="Times New Roman"/>
                <w:szCs w:val="24"/>
              </w:rPr>
              <w:t>（R</w:t>
            </w:r>
            <w:r>
              <w:rPr>
                <w:rFonts w:ascii="Times New Roman" w:hAnsi="Times New Roman"/>
                <w:szCs w:val="24"/>
                <w:vertAlign w:val="subscript"/>
              </w:rPr>
              <w:t>po</w:t>
            </w:r>
            <w:r>
              <w:rPr>
                <w:rFonts w:ascii="Times New Roman" w:hAnsi="Times New Roman"/>
                <w:szCs w:val="24"/>
              </w:rPr>
              <w:t>）≤25%</w:t>
            </w:r>
          </w:p>
        </w:tc>
        <w:tc>
          <w:tcPr>
            <w:tcW w:w="530" w:type="pct"/>
            <w:tcBorders>
              <w:top w:val="single" w:color="auto" w:sz="4" w:space="0"/>
              <w:left w:val="single" w:color="auto" w:sz="4" w:space="0"/>
              <w:bottom w:val="single" w:color="auto" w:sz="4" w:space="0"/>
              <w:right w:val="single" w:color="auto" w:sz="4" w:space="0"/>
            </w:tcBorders>
            <w:noWrap w:val="0"/>
            <w:vAlign w:val="center"/>
          </w:tcPr>
          <w:p>
            <w:pPr>
              <w:pStyle w:val="21"/>
              <w:spacing w:line="360" w:lineRule="auto"/>
              <w:rPr>
                <w:rFonts w:ascii="Times New Roman" w:hAnsi="Times New Roman"/>
                <w:szCs w:val="24"/>
              </w:rPr>
            </w:pPr>
            <w:r>
              <w:rPr>
                <w:rFonts w:ascii="Times New Roman" w:hAnsi="Times New Roman"/>
                <w:szCs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Pr>
        <w:tc>
          <w:tcPr>
            <w:tcW w:w="727" w:type="pct"/>
            <w:vMerge w:val="continue"/>
            <w:tcBorders>
              <w:top w:val="single" w:color="auto" w:sz="4" w:space="0"/>
              <w:left w:val="single" w:color="auto" w:sz="4" w:space="0"/>
              <w:bottom w:val="single" w:color="auto" w:sz="4" w:space="0"/>
              <w:right w:val="single" w:color="auto" w:sz="4" w:space="0"/>
            </w:tcBorders>
            <w:noWrap w:val="0"/>
            <w:vAlign w:val="center"/>
          </w:tcPr>
          <w:p>
            <w:pPr>
              <w:pStyle w:val="21"/>
              <w:spacing w:line="360" w:lineRule="auto"/>
              <w:rPr>
                <w:rFonts w:ascii="Times New Roman" w:hAnsi="Times New Roman"/>
                <w:szCs w:val="24"/>
              </w:rPr>
            </w:pPr>
          </w:p>
        </w:tc>
        <w:tc>
          <w:tcPr>
            <w:tcW w:w="2283" w:type="pct"/>
            <w:vMerge w:val="continue"/>
            <w:tcBorders>
              <w:top w:val="single" w:color="auto" w:sz="4" w:space="0"/>
              <w:left w:val="single" w:color="auto" w:sz="4" w:space="0"/>
              <w:bottom w:val="single" w:color="auto" w:sz="4" w:space="0"/>
              <w:right w:val="single" w:color="auto" w:sz="4" w:space="0"/>
            </w:tcBorders>
            <w:noWrap w:val="0"/>
            <w:vAlign w:val="center"/>
          </w:tcPr>
          <w:p>
            <w:pPr>
              <w:pStyle w:val="21"/>
              <w:spacing w:line="360" w:lineRule="auto"/>
              <w:rPr>
                <w:rFonts w:ascii="Times New Roman" w:hAnsi="Times New Roman"/>
                <w:szCs w:val="24"/>
              </w:rPr>
            </w:pPr>
          </w:p>
        </w:tc>
        <w:tc>
          <w:tcPr>
            <w:tcW w:w="1459" w:type="pct"/>
            <w:tcBorders>
              <w:top w:val="single" w:color="auto" w:sz="4" w:space="0"/>
              <w:left w:val="single" w:color="auto" w:sz="4" w:space="0"/>
              <w:bottom w:val="single" w:color="auto" w:sz="4" w:space="0"/>
              <w:right w:val="single" w:color="auto" w:sz="4" w:space="0"/>
            </w:tcBorders>
            <w:noWrap w:val="0"/>
            <w:vAlign w:val="center"/>
          </w:tcPr>
          <w:p>
            <w:pPr>
              <w:pStyle w:val="21"/>
              <w:spacing w:line="360" w:lineRule="auto"/>
              <w:rPr>
                <w:rFonts w:ascii="Times New Roman" w:hAnsi="Times New Roman"/>
                <w:szCs w:val="24"/>
              </w:rPr>
            </w:pPr>
            <w:r>
              <w:rPr>
                <w:rFonts w:ascii="Times New Roman" w:hAnsi="Times New Roman"/>
                <w:szCs w:val="24"/>
              </w:rPr>
              <w:t>25%＜R</w:t>
            </w:r>
            <w:r>
              <w:rPr>
                <w:rFonts w:ascii="Times New Roman" w:hAnsi="Times New Roman"/>
                <w:szCs w:val="24"/>
                <w:vertAlign w:val="subscript"/>
              </w:rPr>
              <w:t>pe</w:t>
            </w:r>
            <w:r>
              <w:rPr>
                <w:rFonts w:ascii="Times New Roman" w:hAnsi="Times New Roman"/>
                <w:szCs w:val="24"/>
              </w:rPr>
              <w:t>（R</w:t>
            </w:r>
            <w:r>
              <w:rPr>
                <w:rFonts w:ascii="Times New Roman" w:hAnsi="Times New Roman"/>
                <w:szCs w:val="24"/>
                <w:vertAlign w:val="subscript"/>
              </w:rPr>
              <w:t>po</w:t>
            </w:r>
            <w:r>
              <w:rPr>
                <w:rFonts w:ascii="Times New Roman" w:hAnsi="Times New Roman"/>
                <w:szCs w:val="24"/>
              </w:rPr>
              <w:t>）≤35%</w:t>
            </w:r>
          </w:p>
        </w:tc>
        <w:tc>
          <w:tcPr>
            <w:tcW w:w="530" w:type="pct"/>
            <w:tcBorders>
              <w:top w:val="single" w:color="auto" w:sz="4" w:space="0"/>
              <w:left w:val="single" w:color="auto" w:sz="4" w:space="0"/>
              <w:bottom w:val="single" w:color="auto" w:sz="4" w:space="0"/>
              <w:right w:val="single" w:color="auto" w:sz="4" w:space="0"/>
            </w:tcBorders>
            <w:noWrap w:val="0"/>
            <w:vAlign w:val="center"/>
          </w:tcPr>
          <w:p>
            <w:pPr>
              <w:pStyle w:val="21"/>
              <w:spacing w:line="360" w:lineRule="auto"/>
              <w:rPr>
                <w:rFonts w:ascii="Times New Roman" w:hAnsi="Times New Roman"/>
                <w:szCs w:val="24"/>
              </w:rPr>
            </w:pPr>
            <w:r>
              <w:rPr>
                <w:rFonts w:hint="eastAsia" w:ascii="Times New Roman" w:hAnsi="Times New Roman"/>
                <w:szCs w:val="24"/>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Pr>
        <w:tc>
          <w:tcPr>
            <w:tcW w:w="727" w:type="pct"/>
            <w:vMerge w:val="continue"/>
            <w:tcBorders>
              <w:top w:val="single" w:color="auto" w:sz="4" w:space="0"/>
              <w:left w:val="single" w:color="auto" w:sz="4" w:space="0"/>
              <w:bottom w:val="single" w:color="auto" w:sz="4" w:space="0"/>
              <w:right w:val="single" w:color="auto" w:sz="4" w:space="0"/>
            </w:tcBorders>
            <w:noWrap w:val="0"/>
            <w:vAlign w:val="center"/>
          </w:tcPr>
          <w:p>
            <w:pPr>
              <w:pStyle w:val="21"/>
              <w:spacing w:line="360" w:lineRule="auto"/>
              <w:rPr>
                <w:rFonts w:ascii="Times New Roman" w:hAnsi="Times New Roman"/>
                <w:szCs w:val="24"/>
              </w:rPr>
            </w:pPr>
          </w:p>
        </w:tc>
        <w:tc>
          <w:tcPr>
            <w:tcW w:w="2283" w:type="pct"/>
            <w:vMerge w:val="continue"/>
            <w:tcBorders>
              <w:top w:val="single" w:color="auto" w:sz="4" w:space="0"/>
              <w:left w:val="single" w:color="auto" w:sz="4" w:space="0"/>
              <w:bottom w:val="single" w:color="auto" w:sz="4" w:space="0"/>
              <w:right w:val="single" w:color="auto" w:sz="4" w:space="0"/>
            </w:tcBorders>
            <w:noWrap w:val="0"/>
            <w:vAlign w:val="center"/>
          </w:tcPr>
          <w:p>
            <w:pPr>
              <w:pStyle w:val="21"/>
              <w:spacing w:line="360" w:lineRule="auto"/>
              <w:rPr>
                <w:rFonts w:ascii="Times New Roman" w:hAnsi="Times New Roman"/>
                <w:szCs w:val="24"/>
              </w:rPr>
            </w:pPr>
          </w:p>
        </w:tc>
        <w:tc>
          <w:tcPr>
            <w:tcW w:w="1459" w:type="pct"/>
            <w:tcBorders>
              <w:top w:val="single" w:color="auto" w:sz="4" w:space="0"/>
              <w:left w:val="single" w:color="auto" w:sz="4" w:space="0"/>
              <w:bottom w:val="single" w:color="auto" w:sz="4" w:space="0"/>
              <w:right w:val="single" w:color="auto" w:sz="4" w:space="0"/>
            </w:tcBorders>
            <w:noWrap w:val="0"/>
            <w:vAlign w:val="center"/>
          </w:tcPr>
          <w:p>
            <w:pPr>
              <w:pStyle w:val="21"/>
              <w:spacing w:line="360" w:lineRule="auto"/>
              <w:rPr>
                <w:rFonts w:ascii="Times New Roman" w:hAnsi="Times New Roman"/>
                <w:szCs w:val="24"/>
              </w:rPr>
            </w:pPr>
            <w:r>
              <w:rPr>
                <w:rFonts w:ascii="Times New Roman" w:hAnsi="Times New Roman"/>
                <w:szCs w:val="24"/>
              </w:rPr>
              <w:t>R</w:t>
            </w:r>
            <w:r>
              <w:rPr>
                <w:rFonts w:ascii="Times New Roman" w:hAnsi="Times New Roman"/>
                <w:szCs w:val="24"/>
                <w:vertAlign w:val="subscript"/>
              </w:rPr>
              <w:t>pe</w:t>
            </w:r>
            <w:r>
              <w:rPr>
                <w:rFonts w:ascii="Times New Roman" w:hAnsi="Times New Roman"/>
                <w:szCs w:val="24"/>
              </w:rPr>
              <w:t>（R</w:t>
            </w:r>
            <w:r>
              <w:rPr>
                <w:rFonts w:ascii="Times New Roman" w:hAnsi="Times New Roman"/>
                <w:szCs w:val="24"/>
                <w:vertAlign w:val="subscript"/>
              </w:rPr>
              <w:t>po</w:t>
            </w:r>
            <w:r>
              <w:rPr>
                <w:rFonts w:ascii="Times New Roman" w:hAnsi="Times New Roman"/>
                <w:szCs w:val="24"/>
              </w:rPr>
              <w:t>）＞35%</w:t>
            </w:r>
          </w:p>
        </w:tc>
        <w:tc>
          <w:tcPr>
            <w:tcW w:w="530" w:type="pct"/>
            <w:tcBorders>
              <w:top w:val="single" w:color="auto" w:sz="4" w:space="0"/>
              <w:left w:val="single" w:color="auto" w:sz="4" w:space="0"/>
              <w:bottom w:val="single" w:color="auto" w:sz="4" w:space="0"/>
              <w:right w:val="single" w:color="auto" w:sz="4" w:space="0"/>
            </w:tcBorders>
            <w:noWrap w:val="0"/>
            <w:vAlign w:val="center"/>
          </w:tcPr>
          <w:p>
            <w:pPr>
              <w:pStyle w:val="21"/>
              <w:spacing w:line="360" w:lineRule="auto"/>
              <w:rPr>
                <w:rFonts w:ascii="Times New Roman" w:hAnsi="Times New Roman"/>
                <w:szCs w:val="24"/>
              </w:rPr>
            </w:pPr>
            <w:r>
              <w:rPr>
                <w:rFonts w:hint="eastAsia" w:ascii="Times New Roman" w:hAnsi="Times New Roman"/>
                <w:szCs w:val="24"/>
              </w:rPr>
              <w:t>6</w:t>
            </w:r>
          </w:p>
        </w:tc>
      </w:tr>
    </w:tbl>
    <w:p>
      <w:pPr>
        <w:spacing w:line="360" w:lineRule="auto"/>
        <w:rPr>
          <w:sz w:val="24"/>
          <w:szCs w:val="24"/>
        </w:rPr>
        <w:sectPr>
          <w:pgSz w:w="11907" w:h="16839"/>
          <w:pgMar w:top="851" w:right="907" w:bottom="851" w:left="1418" w:header="851" w:footer="992" w:gutter="0"/>
          <w:cols w:space="720" w:num="1"/>
          <w:docGrid w:type="lines" w:linePitch="312" w:charSpace="0"/>
        </w:sectPr>
      </w:pPr>
    </w:p>
    <w:p>
      <w:pPr>
        <w:jc w:val="center"/>
        <w:outlineLvl w:val="0"/>
        <w:rPr>
          <w:b/>
          <w:sz w:val="32"/>
          <w:szCs w:val="32"/>
        </w:rPr>
      </w:pPr>
      <w:bookmarkStart w:id="113" w:name="_Toc24543003"/>
      <w:r>
        <w:rPr>
          <w:rFonts w:hint="eastAsia"/>
          <w:b/>
          <w:sz w:val="32"/>
          <w:szCs w:val="32"/>
        </w:rPr>
        <w:t>9 提 高 与 创 新</w:t>
      </w:r>
      <w:bookmarkEnd w:id="113"/>
    </w:p>
    <w:p>
      <w:pPr>
        <w:rPr>
          <w:rFonts w:hint="eastAsia"/>
        </w:rPr>
      </w:pPr>
      <w:bookmarkStart w:id="114" w:name="_Toc24543004"/>
    </w:p>
    <w:p>
      <w:pPr>
        <w:spacing w:line="360" w:lineRule="auto"/>
        <w:ind w:left="435" w:leftChars="150" w:hanging="120" w:hangingChars="50"/>
        <w:jc w:val="center"/>
        <w:outlineLvl w:val="1"/>
        <w:rPr>
          <w:rFonts w:hint="eastAsia" w:eastAsia="黑体"/>
          <w:b/>
          <w:sz w:val="24"/>
          <w:szCs w:val="24"/>
        </w:rPr>
      </w:pPr>
      <w:r>
        <w:rPr>
          <w:rFonts w:hint="eastAsia" w:eastAsia="黑体"/>
          <w:b/>
          <w:sz w:val="24"/>
          <w:szCs w:val="24"/>
        </w:rPr>
        <w:t>9.1一般规定</w:t>
      </w:r>
      <w:bookmarkEnd w:id="114"/>
    </w:p>
    <w:p/>
    <w:p>
      <w:pPr>
        <w:spacing w:line="360" w:lineRule="auto"/>
        <w:outlineLvl w:val="2"/>
        <w:rPr>
          <w:sz w:val="24"/>
          <w:szCs w:val="24"/>
        </w:rPr>
      </w:pPr>
      <w:r>
        <w:rPr>
          <w:rFonts w:hint="eastAsia"/>
          <w:b/>
          <w:sz w:val="24"/>
          <w:szCs w:val="24"/>
        </w:rPr>
        <w:t>9.1.1</w:t>
      </w:r>
      <w:r>
        <w:rPr>
          <w:rFonts w:hint="eastAsia"/>
          <w:sz w:val="24"/>
          <w:szCs w:val="24"/>
        </w:rPr>
        <w:t xml:space="preserve">  绿色建筑评价时，应按本章规定对提高与创新项进行评价。</w:t>
      </w:r>
    </w:p>
    <w:p>
      <w:pPr>
        <w:spacing w:line="360" w:lineRule="auto"/>
        <w:outlineLvl w:val="2"/>
        <w:rPr>
          <w:sz w:val="24"/>
          <w:szCs w:val="24"/>
        </w:rPr>
      </w:pPr>
      <w:r>
        <w:rPr>
          <w:rFonts w:hint="eastAsia"/>
          <w:b/>
          <w:sz w:val="24"/>
          <w:szCs w:val="24"/>
        </w:rPr>
        <w:t>9.1.2</w:t>
      </w:r>
      <w:r>
        <w:rPr>
          <w:rFonts w:hint="eastAsia"/>
          <w:sz w:val="24"/>
          <w:szCs w:val="24"/>
        </w:rPr>
        <w:t xml:space="preserve">  提高与创新项得分为加分项得分之和，当得分大于100分时，应取为100分。</w:t>
      </w:r>
    </w:p>
    <w:p>
      <w:pPr>
        <w:rPr>
          <w:rFonts w:hint="eastAsia"/>
        </w:rPr>
      </w:pPr>
      <w:bookmarkStart w:id="115" w:name="_Toc24543005"/>
    </w:p>
    <w:p>
      <w:pPr>
        <w:spacing w:line="360" w:lineRule="auto"/>
        <w:ind w:left="435" w:leftChars="150" w:hanging="120" w:hangingChars="50"/>
        <w:jc w:val="center"/>
        <w:outlineLvl w:val="1"/>
        <w:rPr>
          <w:rFonts w:hint="eastAsia" w:eastAsia="黑体"/>
          <w:b/>
          <w:sz w:val="24"/>
          <w:szCs w:val="24"/>
        </w:rPr>
      </w:pPr>
      <w:r>
        <w:rPr>
          <w:rFonts w:hint="eastAsia" w:eastAsia="黑体"/>
          <w:b/>
          <w:sz w:val="24"/>
          <w:szCs w:val="24"/>
        </w:rPr>
        <w:t>9.2加 分 项</w:t>
      </w:r>
      <w:bookmarkEnd w:id="115"/>
    </w:p>
    <w:p/>
    <w:p>
      <w:pPr>
        <w:spacing w:line="360" w:lineRule="auto"/>
        <w:outlineLvl w:val="2"/>
        <w:rPr>
          <w:sz w:val="24"/>
          <w:szCs w:val="24"/>
        </w:rPr>
      </w:pPr>
      <w:r>
        <w:rPr>
          <w:rFonts w:hint="eastAsia"/>
          <w:b/>
          <w:sz w:val="24"/>
          <w:szCs w:val="24"/>
        </w:rPr>
        <w:t xml:space="preserve">9.2.1 </w:t>
      </w:r>
      <w:r>
        <w:rPr>
          <w:rFonts w:hint="eastAsia"/>
          <w:sz w:val="24"/>
          <w:szCs w:val="24"/>
        </w:rPr>
        <w:t xml:space="preserve"> 采取措施进一步降低建筑供暖空调系统的能耗，评价总分值为30分。建筑供暖空调系统能耗相比国家现行有关建筑节能标准降低40%,得10分；每再降低10%,再得5分，最高得30分。</w:t>
      </w:r>
    </w:p>
    <w:p>
      <w:pPr>
        <w:spacing w:line="360" w:lineRule="auto"/>
        <w:outlineLvl w:val="2"/>
        <w:rPr>
          <w:sz w:val="24"/>
          <w:szCs w:val="24"/>
        </w:rPr>
      </w:pPr>
      <w:r>
        <w:rPr>
          <w:rFonts w:hint="eastAsia"/>
          <w:b/>
          <w:sz w:val="24"/>
          <w:szCs w:val="24"/>
        </w:rPr>
        <w:t>9.2.2</w:t>
      </w:r>
      <w:r>
        <w:rPr>
          <w:rFonts w:hint="eastAsia"/>
          <w:sz w:val="24"/>
          <w:szCs w:val="24"/>
        </w:rPr>
        <w:t xml:space="preserve">  采用适宜地区特色的建筑风貌设计，因地制宜传承地域建筑文化，评价分值为20分。</w:t>
      </w:r>
    </w:p>
    <w:p>
      <w:pPr>
        <w:spacing w:line="360" w:lineRule="auto"/>
        <w:outlineLvl w:val="2"/>
        <w:rPr>
          <w:sz w:val="24"/>
          <w:szCs w:val="24"/>
        </w:rPr>
      </w:pPr>
      <w:r>
        <w:rPr>
          <w:rFonts w:hint="eastAsia"/>
          <w:b/>
          <w:sz w:val="24"/>
          <w:szCs w:val="24"/>
        </w:rPr>
        <w:t>9.2.3</w:t>
      </w:r>
      <w:r>
        <w:rPr>
          <w:rFonts w:hint="eastAsia"/>
          <w:sz w:val="24"/>
          <w:szCs w:val="24"/>
        </w:rPr>
        <w:t xml:space="preserve">  合理选用废弃场地进行建设，或充分利用尚可使用的旧建筑，评价分值为8分。</w:t>
      </w:r>
    </w:p>
    <w:p>
      <w:pPr>
        <w:spacing w:line="360" w:lineRule="auto"/>
        <w:outlineLvl w:val="2"/>
        <w:rPr>
          <w:sz w:val="24"/>
          <w:szCs w:val="24"/>
        </w:rPr>
      </w:pPr>
      <w:r>
        <w:rPr>
          <w:rFonts w:hint="eastAsia"/>
          <w:b/>
          <w:sz w:val="24"/>
          <w:szCs w:val="24"/>
        </w:rPr>
        <w:t xml:space="preserve">9.2.4 </w:t>
      </w:r>
      <w:r>
        <w:rPr>
          <w:rFonts w:hint="eastAsia"/>
          <w:sz w:val="24"/>
          <w:szCs w:val="24"/>
        </w:rPr>
        <w:t>场地绿容率不低于3.0,评价总分值为5分，并按下列规则评分：</w:t>
      </w:r>
    </w:p>
    <w:p>
      <w:pPr>
        <w:spacing w:line="360" w:lineRule="auto"/>
        <w:ind w:firstLine="482" w:firstLineChars="200"/>
        <w:rPr>
          <w:sz w:val="24"/>
          <w:szCs w:val="24"/>
        </w:rPr>
      </w:pPr>
      <w:r>
        <w:rPr>
          <w:rFonts w:hint="eastAsia"/>
          <w:b/>
          <w:sz w:val="24"/>
          <w:szCs w:val="24"/>
        </w:rPr>
        <w:t>1</w:t>
      </w:r>
      <w:r>
        <w:rPr>
          <w:rFonts w:hint="eastAsia"/>
          <w:sz w:val="24"/>
          <w:szCs w:val="24"/>
        </w:rPr>
        <w:t>场地绿容率计算值不低于3.0,得3分。</w:t>
      </w:r>
    </w:p>
    <w:p>
      <w:pPr>
        <w:spacing w:line="360" w:lineRule="auto"/>
        <w:ind w:firstLine="482" w:firstLineChars="200"/>
        <w:rPr>
          <w:sz w:val="24"/>
          <w:szCs w:val="24"/>
        </w:rPr>
      </w:pPr>
      <w:r>
        <w:rPr>
          <w:rFonts w:hint="eastAsia"/>
          <w:b/>
          <w:sz w:val="24"/>
          <w:szCs w:val="24"/>
        </w:rPr>
        <w:t>2</w:t>
      </w:r>
      <w:r>
        <w:rPr>
          <w:rFonts w:hint="eastAsia"/>
          <w:sz w:val="24"/>
          <w:szCs w:val="24"/>
        </w:rPr>
        <w:t>场地绿容率实测值不低于3.0,得5分。</w:t>
      </w:r>
    </w:p>
    <w:p>
      <w:pPr>
        <w:spacing w:line="360" w:lineRule="auto"/>
        <w:outlineLvl w:val="2"/>
        <w:rPr>
          <w:sz w:val="24"/>
          <w:szCs w:val="24"/>
        </w:rPr>
      </w:pPr>
      <w:r>
        <w:rPr>
          <w:rFonts w:hint="eastAsia"/>
          <w:b/>
          <w:sz w:val="24"/>
          <w:szCs w:val="24"/>
        </w:rPr>
        <w:t>9.2.5</w:t>
      </w:r>
      <w:r>
        <w:rPr>
          <w:rFonts w:hint="eastAsia"/>
          <w:sz w:val="24"/>
          <w:szCs w:val="24"/>
        </w:rPr>
        <w:t xml:space="preserve">  采用符合工业化建造要求的结构体系与建筑构件，评价分值为10分，并按下列规则评分：</w:t>
      </w:r>
    </w:p>
    <w:p>
      <w:pPr>
        <w:spacing w:line="360" w:lineRule="auto"/>
        <w:ind w:firstLine="482" w:firstLineChars="200"/>
        <w:rPr>
          <w:sz w:val="24"/>
          <w:szCs w:val="24"/>
        </w:rPr>
      </w:pPr>
      <w:r>
        <w:rPr>
          <w:rFonts w:hint="eastAsia"/>
          <w:b/>
          <w:sz w:val="24"/>
          <w:szCs w:val="24"/>
        </w:rPr>
        <w:t>1</w:t>
      </w:r>
      <w:r>
        <w:rPr>
          <w:rFonts w:hint="eastAsia"/>
          <w:sz w:val="24"/>
          <w:szCs w:val="24"/>
        </w:rPr>
        <w:t xml:space="preserve"> 主体结构采用钢结构、木结构，得10 分。</w:t>
      </w:r>
    </w:p>
    <w:p>
      <w:pPr>
        <w:spacing w:line="360" w:lineRule="auto"/>
        <w:ind w:firstLine="482" w:firstLineChars="200"/>
        <w:rPr>
          <w:sz w:val="24"/>
          <w:szCs w:val="24"/>
        </w:rPr>
      </w:pPr>
      <w:r>
        <w:rPr>
          <w:rFonts w:hint="eastAsia"/>
          <w:b/>
          <w:sz w:val="24"/>
          <w:szCs w:val="24"/>
        </w:rPr>
        <w:t>2</w:t>
      </w:r>
      <w:r>
        <w:rPr>
          <w:rFonts w:hint="eastAsia"/>
          <w:sz w:val="24"/>
          <w:szCs w:val="24"/>
        </w:rPr>
        <w:t xml:space="preserve"> 主体结构采用装配式混凝土结构，地上部分预制构件应用混凝土体积占混凝土总体积的比例达到35%,得5分；达到50%,得10分。</w:t>
      </w:r>
    </w:p>
    <w:p>
      <w:pPr>
        <w:spacing w:line="360" w:lineRule="auto"/>
        <w:outlineLvl w:val="2"/>
        <w:rPr>
          <w:sz w:val="24"/>
          <w:szCs w:val="24"/>
        </w:rPr>
      </w:pPr>
      <w:r>
        <w:rPr>
          <w:rFonts w:hint="eastAsia"/>
          <w:b/>
          <w:sz w:val="24"/>
          <w:szCs w:val="24"/>
        </w:rPr>
        <w:t xml:space="preserve">9.2.6 </w:t>
      </w:r>
      <w:r>
        <w:rPr>
          <w:rFonts w:hint="eastAsia"/>
          <w:sz w:val="24"/>
          <w:szCs w:val="24"/>
        </w:rPr>
        <w:t xml:space="preserve"> 应用建筑信息模型(BIM) 技术，评价总分值为15分。在建筑的规划设计、施工建造和运行维护阶段中的一个阶段应用，得5分；两个阶段应用，得10分；三个阶段应用，得15分。</w:t>
      </w:r>
    </w:p>
    <w:p>
      <w:pPr>
        <w:spacing w:line="360" w:lineRule="auto"/>
        <w:outlineLvl w:val="2"/>
        <w:rPr>
          <w:sz w:val="24"/>
          <w:szCs w:val="24"/>
        </w:rPr>
      </w:pPr>
      <w:r>
        <w:rPr>
          <w:rFonts w:hint="eastAsia"/>
          <w:b/>
          <w:sz w:val="24"/>
          <w:szCs w:val="24"/>
        </w:rPr>
        <w:t>9.2.7</w:t>
      </w:r>
      <w:r>
        <w:rPr>
          <w:rFonts w:hint="eastAsia"/>
          <w:sz w:val="24"/>
          <w:szCs w:val="24"/>
        </w:rPr>
        <w:t xml:space="preserve">  进行建筑碳排放计算分析，采取措施降低单位建筑面积碳排放强度，评价分值为12分。</w:t>
      </w:r>
    </w:p>
    <w:p>
      <w:pPr>
        <w:spacing w:line="360" w:lineRule="auto"/>
        <w:outlineLvl w:val="2"/>
        <w:rPr>
          <w:sz w:val="24"/>
          <w:szCs w:val="24"/>
        </w:rPr>
      </w:pPr>
      <w:r>
        <w:rPr>
          <w:rFonts w:hint="eastAsia"/>
          <w:b/>
          <w:sz w:val="24"/>
          <w:szCs w:val="24"/>
        </w:rPr>
        <w:t>9.2.8</w:t>
      </w:r>
      <w:r>
        <w:rPr>
          <w:rFonts w:hint="eastAsia"/>
          <w:sz w:val="24"/>
          <w:szCs w:val="24"/>
        </w:rPr>
        <w:t xml:space="preserve">  按照绿色施工的要求进行施工和管理，评价总分值为20分，并按下列规则分别评分并累计：</w:t>
      </w:r>
    </w:p>
    <w:p>
      <w:pPr>
        <w:spacing w:line="360" w:lineRule="auto"/>
        <w:ind w:firstLine="482" w:firstLineChars="200"/>
        <w:rPr>
          <w:sz w:val="24"/>
          <w:szCs w:val="24"/>
        </w:rPr>
      </w:pPr>
      <w:r>
        <w:rPr>
          <w:rFonts w:hint="eastAsia"/>
          <w:b/>
          <w:sz w:val="24"/>
          <w:szCs w:val="24"/>
        </w:rPr>
        <w:t>1</w:t>
      </w:r>
      <w:r>
        <w:rPr>
          <w:rFonts w:hint="eastAsia"/>
          <w:sz w:val="24"/>
          <w:szCs w:val="24"/>
        </w:rPr>
        <w:t xml:space="preserve"> 获得绿色施工优良等级或绿色施工示范工程认定，得8分；</w:t>
      </w:r>
    </w:p>
    <w:p>
      <w:pPr>
        <w:spacing w:line="360" w:lineRule="auto"/>
        <w:ind w:firstLine="482" w:firstLineChars="200"/>
        <w:rPr>
          <w:sz w:val="24"/>
          <w:szCs w:val="24"/>
        </w:rPr>
      </w:pPr>
      <w:r>
        <w:rPr>
          <w:rFonts w:hint="eastAsia"/>
          <w:b/>
          <w:sz w:val="24"/>
          <w:szCs w:val="24"/>
        </w:rPr>
        <w:t>2</w:t>
      </w:r>
      <w:r>
        <w:rPr>
          <w:rFonts w:hint="eastAsia"/>
          <w:sz w:val="24"/>
          <w:szCs w:val="24"/>
        </w:rPr>
        <w:t xml:space="preserve"> 采取措施减少预拌混凝土损耗，损耗率降低至1.0%，得4分；</w:t>
      </w:r>
    </w:p>
    <w:p>
      <w:pPr>
        <w:spacing w:line="360" w:lineRule="auto"/>
        <w:ind w:firstLine="482" w:firstLineChars="200"/>
        <w:rPr>
          <w:sz w:val="24"/>
          <w:szCs w:val="24"/>
        </w:rPr>
      </w:pPr>
      <w:r>
        <w:rPr>
          <w:rFonts w:hint="eastAsia"/>
          <w:b/>
          <w:sz w:val="24"/>
          <w:szCs w:val="24"/>
        </w:rPr>
        <w:t>3</w:t>
      </w:r>
      <w:r>
        <w:rPr>
          <w:rFonts w:hint="eastAsia"/>
          <w:sz w:val="24"/>
          <w:szCs w:val="24"/>
        </w:rPr>
        <w:t xml:space="preserve"> 采取措施减少现场加工钢筋损耗，损耗率降低至1.5%,得4分；</w:t>
      </w:r>
    </w:p>
    <w:p>
      <w:pPr>
        <w:spacing w:line="360" w:lineRule="auto"/>
        <w:ind w:firstLine="482" w:firstLineChars="200"/>
        <w:rPr>
          <w:sz w:val="24"/>
          <w:szCs w:val="24"/>
        </w:rPr>
      </w:pPr>
      <w:r>
        <w:rPr>
          <w:rFonts w:hint="eastAsia"/>
          <w:b/>
          <w:sz w:val="24"/>
          <w:szCs w:val="24"/>
        </w:rPr>
        <w:t>4</w:t>
      </w:r>
      <w:r>
        <w:rPr>
          <w:rFonts w:hint="eastAsia"/>
          <w:sz w:val="24"/>
          <w:szCs w:val="24"/>
        </w:rPr>
        <w:t xml:space="preserve"> 现浇混凝土构件采用铝模等免墙面粉刷的模板体系，得4分。</w:t>
      </w:r>
    </w:p>
    <w:p>
      <w:pPr>
        <w:spacing w:line="360" w:lineRule="auto"/>
        <w:outlineLvl w:val="2"/>
        <w:rPr>
          <w:sz w:val="24"/>
          <w:szCs w:val="24"/>
        </w:rPr>
      </w:pPr>
      <w:r>
        <w:rPr>
          <w:rFonts w:hint="eastAsia"/>
          <w:b/>
          <w:sz w:val="24"/>
          <w:szCs w:val="24"/>
        </w:rPr>
        <w:t>9.2.9</w:t>
      </w:r>
      <w:r>
        <w:rPr>
          <w:rFonts w:hint="eastAsia"/>
          <w:sz w:val="24"/>
          <w:szCs w:val="24"/>
        </w:rPr>
        <w:t xml:space="preserve">  采用建设工程质量潜在缺陷保险产品，评价总分值为20分，并按下列规则分别评分并累计：</w:t>
      </w:r>
    </w:p>
    <w:p>
      <w:pPr>
        <w:spacing w:line="360" w:lineRule="auto"/>
        <w:ind w:firstLine="482" w:firstLineChars="200"/>
        <w:rPr>
          <w:sz w:val="24"/>
          <w:szCs w:val="24"/>
        </w:rPr>
      </w:pPr>
      <w:r>
        <w:rPr>
          <w:rFonts w:hint="eastAsia"/>
          <w:b/>
          <w:sz w:val="24"/>
          <w:szCs w:val="24"/>
        </w:rPr>
        <w:t>1</w:t>
      </w:r>
      <w:r>
        <w:rPr>
          <w:rFonts w:hint="eastAsia"/>
          <w:sz w:val="24"/>
          <w:szCs w:val="24"/>
        </w:rPr>
        <w:t xml:space="preserve"> 保险承保范围包括地基基础工程、主体结构工程、屋面防水工程和其他土建工程的质量问题，得10分；</w:t>
      </w:r>
    </w:p>
    <w:p>
      <w:pPr>
        <w:spacing w:line="360" w:lineRule="auto"/>
        <w:ind w:firstLine="482" w:firstLineChars="200"/>
        <w:rPr>
          <w:sz w:val="24"/>
          <w:szCs w:val="24"/>
        </w:rPr>
      </w:pPr>
      <w:r>
        <w:rPr>
          <w:rFonts w:hint="eastAsia"/>
          <w:b/>
          <w:sz w:val="24"/>
          <w:szCs w:val="24"/>
        </w:rPr>
        <w:t>2</w:t>
      </w:r>
      <w:r>
        <w:rPr>
          <w:rFonts w:hint="eastAsia"/>
          <w:sz w:val="24"/>
          <w:szCs w:val="24"/>
        </w:rPr>
        <w:t xml:space="preserve"> 保险承保范围包括装修工程、电气管线、上下水管线的安装工程，供热、供冷系统工程的质量问题，得10分。</w:t>
      </w:r>
    </w:p>
    <w:p>
      <w:pPr>
        <w:spacing w:line="360" w:lineRule="auto"/>
        <w:outlineLvl w:val="2"/>
        <w:rPr>
          <w:rFonts w:hint="eastAsia"/>
          <w:sz w:val="24"/>
          <w:szCs w:val="24"/>
        </w:rPr>
      </w:pPr>
      <w:r>
        <w:rPr>
          <w:rFonts w:hint="eastAsia"/>
          <w:b/>
          <w:sz w:val="24"/>
          <w:szCs w:val="24"/>
        </w:rPr>
        <w:t>9.2.10</w:t>
      </w:r>
      <w:r>
        <w:rPr>
          <w:rFonts w:hint="eastAsia"/>
          <w:sz w:val="24"/>
          <w:szCs w:val="24"/>
        </w:rPr>
        <w:t xml:space="preserve">  采取节约资源、保护生态环境、保障安全健康、智慧友好运行、传承历史文化等其他创新，并有明显效益，评价总分值为40分。每采取一项，得10分，最高得40分。</w:t>
      </w:r>
    </w:p>
    <w:p>
      <w:pPr>
        <w:spacing w:line="360" w:lineRule="auto"/>
        <w:outlineLvl w:val="2"/>
        <w:rPr>
          <w:rFonts w:hint="eastAsia"/>
          <w:sz w:val="24"/>
          <w:szCs w:val="24"/>
        </w:rPr>
      </w:pPr>
      <w:r>
        <w:rPr>
          <w:rFonts w:hint="eastAsia"/>
          <w:b/>
          <w:sz w:val="24"/>
          <w:szCs w:val="24"/>
        </w:rPr>
        <w:t xml:space="preserve">9.2.11  </w:t>
      </w:r>
      <w:r>
        <w:rPr>
          <w:rFonts w:hint="eastAsia"/>
          <w:sz w:val="24"/>
          <w:szCs w:val="24"/>
        </w:rPr>
        <w:t>按照《建设项目交通影响评价技术标准》（</w:t>
      </w:r>
      <w:r>
        <w:rPr>
          <w:sz w:val="24"/>
          <w:szCs w:val="24"/>
        </w:rPr>
        <w:t>CJJ/T141-2010）</w:t>
      </w:r>
      <w:r>
        <w:rPr>
          <w:rFonts w:hint="eastAsia"/>
          <w:sz w:val="24"/>
          <w:szCs w:val="24"/>
        </w:rPr>
        <w:t>及地方标准，完成建设项目交通影响评价报告，并按报告实施的，得10分。</w:t>
      </w:r>
    </w:p>
    <w:p>
      <w:pPr>
        <w:spacing w:line="360" w:lineRule="auto"/>
        <w:outlineLvl w:val="2"/>
        <w:rPr>
          <w:sz w:val="24"/>
          <w:szCs w:val="24"/>
        </w:rPr>
      </w:pPr>
      <w:r>
        <w:rPr>
          <w:rFonts w:hint="eastAsia"/>
          <w:b/>
          <w:sz w:val="24"/>
          <w:szCs w:val="24"/>
        </w:rPr>
        <w:t xml:space="preserve">9.2.12  </w:t>
      </w:r>
      <w:r>
        <w:rPr>
          <w:rFonts w:hint="eastAsia"/>
          <w:sz w:val="24"/>
          <w:szCs w:val="24"/>
        </w:rPr>
        <w:t>按照广西智慧小区评价标准进行建设，评价总分值为15分，并按下列规则评分：</w:t>
      </w:r>
    </w:p>
    <w:p>
      <w:pPr>
        <w:spacing w:line="360" w:lineRule="auto"/>
        <w:outlineLvl w:val="2"/>
        <w:rPr>
          <w:sz w:val="24"/>
          <w:szCs w:val="24"/>
        </w:rPr>
      </w:pPr>
      <w:r>
        <w:rPr>
          <w:rFonts w:hint="eastAsia"/>
          <w:sz w:val="24"/>
          <w:szCs w:val="24"/>
        </w:rPr>
        <w:t xml:space="preserve">    1 满足一星级智慧小区标准，得8分。</w:t>
      </w:r>
    </w:p>
    <w:p>
      <w:pPr>
        <w:spacing w:line="360" w:lineRule="auto"/>
        <w:outlineLvl w:val="2"/>
        <w:rPr>
          <w:sz w:val="24"/>
          <w:szCs w:val="24"/>
        </w:rPr>
      </w:pPr>
      <w:r>
        <w:rPr>
          <w:rFonts w:hint="eastAsia"/>
          <w:sz w:val="24"/>
          <w:szCs w:val="24"/>
        </w:rPr>
        <w:t xml:space="preserve">    2 满足二星级智慧小区标准，得12分。</w:t>
      </w:r>
    </w:p>
    <w:p>
      <w:pPr>
        <w:spacing w:line="360" w:lineRule="auto"/>
        <w:ind w:firstLine="480"/>
        <w:outlineLvl w:val="2"/>
        <w:rPr>
          <w:rFonts w:hint="eastAsia"/>
          <w:sz w:val="24"/>
          <w:szCs w:val="24"/>
        </w:rPr>
      </w:pPr>
      <w:r>
        <w:rPr>
          <w:rFonts w:hint="eastAsia"/>
          <w:sz w:val="24"/>
          <w:szCs w:val="24"/>
        </w:rPr>
        <w:t>3 满足三星级智慧小区标准，得15分。</w:t>
      </w:r>
    </w:p>
    <w:p>
      <w:pPr>
        <w:spacing w:line="360" w:lineRule="auto"/>
        <w:ind w:firstLine="480"/>
        <w:outlineLvl w:val="2"/>
        <w:rPr>
          <w:sz w:val="24"/>
          <w:szCs w:val="24"/>
        </w:rPr>
      </w:pPr>
      <w:r>
        <w:rPr>
          <w:sz w:val="24"/>
          <w:szCs w:val="24"/>
        </w:rPr>
        <w:br w:type="page"/>
      </w:r>
      <w:bookmarkStart w:id="116" w:name="_Toc404896086"/>
      <w:bookmarkStart w:id="117" w:name="_Toc436750099"/>
      <w:bookmarkStart w:id="118" w:name="_Toc24543006"/>
      <w:r>
        <w:rPr>
          <w:rFonts w:hint="eastAsia"/>
          <w:sz w:val="32"/>
        </w:rPr>
        <w:t>本标准用词说明</w:t>
      </w:r>
      <w:bookmarkEnd w:id="116"/>
      <w:bookmarkEnd w:id="117"/>
      <w:bookmarkEnd w:id="118"/>
    </w:p>
    <w:p>
      <w:pPr>
        <w:spacing w:line="360" w:lineRule="auto"/>
        <w:rPr>
          <w:sz w:val="24"/>
        </w:rPr>
      </w:pPr>
      <w:r>
        <w:rPr>
          <w:b/>
          <w:sz w:val="24"/>
        </w:rPr>
        <w:t>1</w:t>
      </w:r>
      <w:r>
        <w:rPr>
          <w:sz w:val="24"/>
        </w:rPr>
        <w:t xml:space="preserve">  </w:t>
      </w:r>
      <w:r>
        <w:rPr>
          <w:rFonts w:hint="eastAsia"/>
          <w:sz w:val="24"/>
        </w:rPr>
        <w:t>为便于在执行本标准条文时区别对待，对要求严格程度不同的用词说明如下：</w:t>
      </w:r>
    </w:p>
    <w:p>
      <w:pPr>
        <w:pStyle w:val="22"/>
        <w:spacing w:line="360" w:lineRule="auto"/>
        <w:ind w:left="357" w:firstLine="0" w:firstLineChars="0"/>
        <w:rPr>
          <w:sz w:val="24"/>
        </w:rPr>
      </w:pPr>
      <w:r>
        <w:rPr>
          <w:b/>
          <w:sz w:val="24"/>
        </w:rPr>
        <w:t>1</w:t>
      </w:r>
      <w:r>
        <w:rPr>
          <w:rFonts w:hint="eastAsia"/>
          <w:sz w:val="24"/>
        </w:rPr>
        <w:t>）表示很严格，非这样做不可的：</w:t>
      </w:r>
    </w:p>
    <w:p>
      <w:pPr>
        <w:pStyle w:val="22"/>
        <w:spacing w:line="360" w:lineRule="auto"/>
        <w:ind w:left="777" w:leftChars="370" w:firstLine="0" w:firstLineChars="0"/>
        <w:rPr>
          <w:sz w:val="24"/>
        </w:rPr>
      </w:pPr>
      <w:r>
        <w:rPr>
          <w:rFonts w:hint="eastAsia"/>
          <w:sz w:val="24"/>
        </w:rPr>
        <w:t>正面词采用“必须”，反面词采用“严禁”。</w:t>
      </w:r>
    </w:p>
    <w:p>
      <w:pPr>
        <w:pStyle w:val="22"/>
        <w:spacing w:line="360" w:lineRule="auto"/>
        <w:ind w:left="357" w:firstLine="0" w:firstLineChars="0"/>
        <w:rPr>
          <w:sz w:val="24"/>
        </w:rPr>
      </w:pPr>
      <w:r>
        <w:rPr>
          <w:b/>
          <w:sz w:val="24"/>
        </w:rPr>
        <w:t>2</w:t>
      </w:r>
      <w:r>
        <w:rPr>
          <w:rFonts w:hint="eastAsia"/>
          <w:sz w:val="24"/>
        </w:rPr>
        <w:t>）表示严格，在正常情况下均应这样做的：</w:t>
      </w:r>
    </w:p>
    <w:p>
      <w:pPr>
        <w:pStyle w:val="22"/>
        <w:spacing w:line="360" w:lineRule="auto"/>
        <w:ind w:left="777" w:leftChars="370" w:firstLine="0" w:firstLineChars="0"/>
        <w:rPr>
          <w:sz w:val="24"/>
        </w:rPr>
      </w:pPr>
      <w:r>
        <w:rPr>
          <w:rFonts w:hint="eastAsia"/>
          <w:sz w:val="24"/>
        </w:rPr>
        <w:t>正面词采用“应”，反面词采用“不应”或“不得”。</w:t>
      </w:r>
    </w:p>
    <w:p>
      <w:pPr>
        <w:pStyle w:val="22"/>
        <w:spacing w:line="360" w:lineRule="auto"/>
        <w:ind w:left="357" w:firstLine="0" w:firstLineChars="0"/>
        <w:rPr>
          <w:sz w:val="24"/>
        </w:rPr>
      </w:pPr>
      <w:r>
        <w:rPr>
          <w:b/>
          <w:sz w:val="24"/>
        </w:rPr>
        <w:t>3</w:t>
      </w:r>
      <w:r>
        <w:rPr>
          <w:rFonts w:hint="eastAsia"/>
          <w:sz w:val="24"/>
        </w:rPr>
        <w:t>）表示允许稍有选择，在条件许可时首先应这样做的：</w:t>
      </w:r>
    </w:p>
    <w:p>
      <w:pPr>
        <w:pStyle w:val="22"/>
        <w:spacing w:line="360" w:lineRule="auto"/>
        <w:ind w:left="777" w:leftChars="370" w:firstLine="0" w:firstLineChars="0"/>
        <w:rPr>
          <w:sz w:val="24"/>
        </w:rPr>
      </w:pPr>
      <w:r>
        <w:rPr>
          <w:rFonts w:hint="eastAsia"/>
          <w:sz w:val="24"/>
        </w:rPr>
        <w:t>正面词采用“宜”，反面词采用“不宜”。</w:t>
      </w:r>
    </w:p>
    <w:p>
      <w:pPr>
        <w:pStyle w:val="22"/>
        <w:spacing w:line="360" w:lineRule="auto"/>
        <w:ind w:firstLine="361" w:firstLineChars="150"/>
        <w:rPr>
          <w:sz w:val="24"/>
        </w:rPr>
      </w:pPr>
      <w:r>
        <w:rPr>
          <w:b/>
          <w:sz w:val="24"/>
        </w:rPr>
        <w:t>4</w:t>
      </w:r>
      <w:r>
        <w:rPr>
          <w:rFonts w:hint="eastAsia"/>
          <w:sz w:val="24"/>
        </w:rPr>
        <w:t>）表示有选择，在一定条件下可以这样做的，采用“可”。</w:t>
      </w:r>
    </w:p>
    <w:p>
      <w:pPr>
        <w:spacing w:line="360" w:lineRule="auto"/>
        <w:rPr>
          <w:sz w:val="24"/>
        </w:rPr>
      </w:pPr>
      <w:r>
        <w:rPr>
          <w:b/>
          <w:sz w:val="24"/>
        </w:rPr>
        <w:t>2</w:t>
      </w:r>
      <w:r>
        <w:rPr>
          <w:sz w:val="24"/>
        </w:rPr>
        <w:t xml:space="preserve"> </w:t>
      </w:r>
      <w:r>
        <w:rPr>
          <w:rFonts w:hint="eastAsia"/>
          <w:sz w:val="24"/>
        </w:rPr>
        <w:t>条文中指明应按其他有关标准执行的写法为：“应符合……的规定”或“应按……执行”。</w:t>
      </w:r>
    </w:p>
    <w:p>
      <w:pPr>
        <w:pStyle w:val="2"/>
        <w:spacing w:line="300" w:lineRule="auto"/>
        <w:jc w:val="center"/>
        <w:rPr>
          <w:rFonts w:hint="eastAsia"/>
          <w:sz w:val="32"/>
        </w:rPr>
      </w:pPr>
      <w:r>
        <w:rPr>
          <w:sz w:val="24"/>
        </w:rPr>
        <w:br w:type="page"/>
      </w:r>
      <w:bookmarkStart w:id="119" w:name="_Toc404896087"/>
      <w:bookmarkStart w:id="120" w:name="_Toc436750100"/>
      <w:bookmarkStart w:id="121" w:name="_Toc24543007"/>
      <w:r>
        <w:rPr>
          <w:rFonts w:hint="eastAsia"/>
          <w:sz w:val="32"/>
        </w:rPr>
        <w:t>引用标准名录</w:t>
      </w:r>
      <w:bookmarkEnd w:id="119"/>
      <w:bookmarkEnd w:id="120"/>
      <w:bookmarkEnd w:id="121"/>
    </w:p>
    <w:p>
      <w:pPr>
        <w:spacing w:line="360" w:lineRule="auto"/>
        <w:rPr>
          <w:sz w:val="24"/>
          <w:szCs w:val="24"/>
        </w:rPr>
      </w:pPr>
      <w:r>
        <w:rPr>
          <w:rFonts w:hint="eastAsia"/>
          <w:sz w:val="24"/>
          <w:szCs w:val="24"/>
        </w:rPr>
        <w:t>1 《建筑照明设计标准》GB50034</w:t>
      </w:r>
    </w:p>
    <w:p>
      <w:pPr>
        <w:spacing w:line="360" w:lineRule="auto"/>
        <w:rPr>
          <w:sz w:val="24"/>
          <w:szCs w:val="24"/>
        </w:rPr>
      </w:pPr>
      <w:r>
        <w:rPr>
          <w:rFonts w:hint="eastAsia"/>
          <w:sz w:val="24"/>
          <w:szCs w:val="24"/>
        </w:rPr>
        <w:t>2 《民用建筑隔声设计规范》GB50118</w:t>
      </w:r>
    </w:p>
    <w:p>
      <w:pPr>
        <w:spacing w:line="360" w:lineRule="auto"/>
        <w:rPr>
          <w:sz w:val="24"/>
          <w:szCs w:val="24"/>
        </w:rPr>
      </w:pPr>
      <w:r>
        <w:rPr>
          <w:rFonts w:hint="eastAsia"/>
          <w:sz w:val="24"/>
          <w:szCs w:val="24"/>
        </w:rPr>
        <w:t>3 《民用建筑热工设计规范》GB50176</w:t>
      </w:r>
    </w:p>
    <w:p>
      <w:pPr>
        <w:spacing w:line="360" w:lineRule="auto"/>
        <w:rPr>
          <w:sz w:val="24"/>
          <w:szCs w:val="24"/>
        </w:rPr>
      </w:pPr>
      <w:r>
        <w:rPr>
          <w:rFonts w:hint="eastAsia"/>
          <w:sz w:val="24"/>
          <w:szCs w:val="24"/>
        </w:rPr>
        <w:t>4 《公共建筑节能设计标准》GB50189</w:t>
      </w:r>
    </w:p>
    <w:p>
      <w:pPr>
        <w:spacing w:line="360" w:lineRule="auto"/>
        <w:rPr>
          <w:sz w:val="24"/>
          <w:szCs w:val="24"/>
        </w:rPr>
      </w:pPr>
      <w:r>
        <w:rPr>
          <w:rFonts w:hint="eastAsia"/>
          <w:sz w:val="24"/>
          <w:szCs w:val="24"/>
        </w:rPr>
        <w:t>5 《民用建筑节水设计标准》GB50555</w:t>
      </w:r>
    </w:p>
    <w:p>
      <w:pPr>
        <w:spacing w:line="360" w:lineRule="auto"/>
        <w:rPr>
          <w:sz w:val="24"/>
          <w:szCs w:val="24"/>
        </w:rPr>
      </w:pPr>
      <w:r>
        <w:rPr>
          <w:rFonts w:hint="eastAsia"/>
          <w:sz w:val="24"/>
          <w:szCs w:val="24"/>
        </w:rPr>
        <w:t>6 《民用建筑供暖通风与空气调节设计规范》GB50736</w:t>
      </w:r>
    </w:p>
    <w:p>
      <w:pPr>
        <w:spacing w:line="360" w:lineRule="auto"/>
        <w:rPr>
          <w:sz w:val="24"/>
          <w:szCs w:val="24"/>
        </w:rPr>
      </w:pPr>
      <w:r>
        <w:rPr>
          <w:rFonts w:hint="eastAsia"/>
          <w:sz w:val="24"/>
          <w:szCs w:val="24"/>
        </w:rPr>
        <w:t>7 《民用建筑室内热湿环境评价标准》GB/T50785</w:t>
      </w:r>
    </w:p>
    <w:p>
      <w:pPr>
        <w:spacing w:line="360" w:lineRule="auto"/>
        <w:rPr>
          <w:sz w:val="24"/>
          <w:szCs w:val="24"/>
        </w:rPr>
      </w:pPr>
      <w:r>
        <w:rPr>
          <w:rFonts w:hint="eastAsia"/>
          <w:sz w:val="24"/>
          <w:szCs w:val="24"/>
        </w:rPr>
        <w:t>8 《声环境质量标准》GB3096</w:t>
      </w:r>
    </w:p>
    <w:p>
      <w:pPr>
        <w:spacing w:line="360" w:lineRule="auto"/>
        <w:rPr>
          <w:sz w:val="24"/>
          <w:szCs w:val="24"/>
        </w:rPr>
      </w:pPr>
      <w:r>
        <w:rPr>
          <w:rFonts w:hint="eastAsia"/>
          <w:sz w:val="24"/>
          <w:szCs w:val="24"/>
        </w:rPr>
        <w:t>9 《生活饮用水卫生标准》GB5749</w:t>
      </w:r>
    </w:p>
    <w:p>
      <w:pPr>
        <w:spacing w:line="360" w:lineRule="auto"/>
        <w:rPr>
          <w:sz w:val="24"/>
          <w:szCs w:val="24"/>
        </w:rPr>
      </w:pPr>
      <w:r>
        <w:rPr>
          <w:rFonts w:hint="eastAsia"/>
          <w:sz w:val="24"/>
          <w:szCs w:val="24"/>
        </w:rPr>
        <w:t>10 《玻璃幕墙光热性能》GB/T18091</w:t>
      </w:r>
    </w:p>
    <w:p>
      <w:pPr>
        <w:spacing w:line="360" w:lineRule="auto"/>
        <w:rPr>
          <w:sz w:val="24"/>
          <w:szCs w:val="24"/>
        </w:rPr>
      </w:pPr>
      <w:r>
        <w:rPr>
          <w:rFonts w:hint="eastAsia"/>
          <w:sz w:val="24"/>
          <w:szCs w:val="24"/>
        </w:rPr>
        <w:t>11 《室内空气质量标准》GB/T18883</w:t>
      </w:r>
    </w:p>
    <w:p>
      <w:pPr>
        <w:spacing w:line="360" w:lineRule="auto"/>
        <w:rPr>
          <w:sz w:val="24"/>
          <w:szCs w:val="24"/>
        </w:rPr>
      </w:pPr>
      <w:r>
        <w:rPr>
          <w:rFonts w:hint="eastAsia"/>
          <w:sz w:val="24"/>
          <w:szCs w:val="24"/>
        </w:rPr>
        <w:t>12 《灯和灯系统的光生物安全性》GB/T20145</w:t>
      </w:r>
    </w:p>
    <w:p>
      <w:pPr>
        <w:spacing w:line="360" w:lineRule="auto"/>
        <w:rPr>
          <w:sz w:val="24"/>
          <w:szCs w:val="24"/>
        </w:rPr>
      </w:pPr>
      <w:r>
        <w:rPr>
          <w:rFonts w:hint="eastAsia"/>
          <w:sz w:val="24"/>
          <w:szCs w:val="24"/>
        </w:rPr>
        <w:t>13 《LED室内照明应用技术要求》GB/T31831</w:t>
      </w:r>
    </w:p>
    <w:p>
      <w:pPr>
        <w:spacing w:line="360" w:lineRule="auto"/>
        <w:rPr>
          <w:sz w:val="24"/>
          <w:szCs w:val="24"/>
        </w:rPr>
      </w:pPr>
      <w:r>
        <w:rPr>
          <w:rFonts w:hint="eastAsia"/>
          <w:sz w:val="24"/>
          <w:szCs w:val="24"/>
        </w:rPr>
        <w:t>14 《室外照明干扰光限制规范》GB/T35626</w:t>
      </w:r>
    </w:p>
    <w:p>
      <w:pPr>
        <w:spacing w:line="360" w:lineRule="auto"/>
        <w:rPr>
          <w:sz w:val="24"/>
          <w:szCs w:val="24"/>
        </w:rPr>
      </w:pPr>
      <w:r>
        <w:rPr>
          <w:rFonts w:hint="eastAsia"/>
          <w:sz w:val="24"/>
          <w:szCs w:val="24"/>
        </w:rPr>
        <w:t>15 《城市夜景照明设计规范》JGJ/T163</w:t>
      </w:r>
    </w:p>
    <w:p>
      <w:pPr>
        <w:spacing w:line="360" w:lineRule="auto"/>
        <w:rPr>
          <w:sz w:val="24"/>
          <w:szCs w:val="24"/>
        </w:rPr>
        <w:sectPr>
          <w:pgSz w:w="11907" w:h="16839"/>
          <w:pgMar w:top="851" w:right="907" w:bottom="851" w:left="1418" w:header="851" w:footer="992" w:gutter="0"/>
          <w:cols w:space="720" w:num="1"/>
          <w:docGrid w:type="lines" w:linePitch="312" w:charSpace="0"/>
        </w:sectPr>
      </w:pPr>
      <w:r>
        <w:rPr>
          <w:rFonts w:hint="eastAsia"/>
          <w:sz w:val="24"/>
          <w:szCs w:val="24"/>
        </w:rPr>
        <w:t>16 《建筑地面工程防滑技术规程》JGJ/T331</w:t>
      </w:r>
    </w:p>
    <w:p>
      <w:pPr>
        <w:rPr>
          <w:rFonts w:hint="eastAsia"/>
        </w:rPr>
      </w:pPr>
    </w:p>
    <w:p>
      <w:pPr>
        <w:rPr>
          <w:rFonts w:hint="eastAsia"/>
        </w:rPr>
      </w:pPr>
    </w:p>
    <w:p>
      <w:pPr>
        <w:rPr>
          <w:rFonts w:hint="eastAsia"/>
        </w:rPr>
      </w:pPr>
    </w:p>
    <w:p>
      <w:pPr>
        <w:rPr>
          <w:rFonts w:hint="eastAsia"/>
        </w:rPr>
      </w:pPr>
    </w:p>
    <w:p/>
    <w:p>
      <w:pPr>
        <w:spacing w:line="300" w:lineRule="auto"/>
        <w:jc w:val="center"/>
        <w:rPr>
          <w:rFonts w:eastAsia="黑体"/>
          <w:b/>
          <w:sz w:val="36"/>
        </w:rPr>
      </w:pPr>
      <w:r>
        <w:rPr>
          <w:rFonts w:hint="eastAsia" w:eastAsia="黑体"/>
          <w:b/>
          <w:sz w:val="36"/>
        </w:rPr>
        <w:t>广西壮族自治区工程建设地方标准</w:t>
      </w:r>
    </w:p>
    <w:p>
      <w:pPr>
        <w:spacing w:line="300" w:lineRule="auto"/>
        <w:jc w:val="center"/>
        <w:rPr>
          <w:b/>
          <w:sz w:val="36"/>
        </w:rPr>
      </w:pPr>
    </w:p>
    <w:p>
      <w:pPr>
        <w:spacing w:line="300" w:lineRule="auto"/>
        <w:jc w:val="center"/>
        <w:rPr>
          <w:b/>
          <w:sz w:val="44"/>
          <w:szCs w:val="44"/>
        </w:rPr>
      </w:pPr>
      <w:r>
        <w:rPr>
          <w:rFonts w:hint="eastAsia"/>
          <w:b/>
          <w:sz w:val="44"/>
          <w:szCs w:val="44"/>
        </w:rPr>
        <w:t>广西绿色建筑评价</w:t>
      </w:r>
    </w:p>
    <w:p>
      <w:pPr>
        <w:spacing w:line="300" w:lineRule="auto"/>
        <w:jc w:val="center"/>
        <w:rPr>
          <w:b/>
          <w:sz w:val="36"/>
        </w:rPr>
      </w:pPr>
      <w:r>
        <w:rPr>
          <w:rFonts w:hint="eastAsia"/>
          <w:b/>
          <w:sz w:val="36"/>
        </w:rPr>
        <w:t>（修订）</w:t>
      </w:r>
    </w:p>
    <w:p>
      <w:pPr>
        <w:spacing w:line="300" w:lineRule="auto"/>
        <w:jc w:val="center"/>
        <w:rPr>
          <w:b/>
          <w:sz w:val="36"/>
        </w:rPr>
      </w:pPr>
      <w:r>
        <w:rPr>
          <w:b/>
          <w:sz w:val="36"/>
        </w:rPr>
        <w:t>DB</w:t>
      </w:r>
      <w:r>
        <w:rPr>
          <w:rFonts w:hint="eastAsia"/>
          <w:b/>
          <w:sz w:val="36"/>
        </w:rPr>
        <w:t>J</w:t>
      </w:r>
      <w:r>
        <w:rPr>
          <w:b/>
          <w:sz w:val="36"/>
        </w:rPr>
        <w:t>/T</w:t>
      </w:r>
      <w:r>
        <w:rPr>
          <w:rFonts w:hint="eastAsia"/>
          <w:b/>
          <w:sz w:val="36"/>
        </w:rPr>
        <w:t>45</w:t>
      </w:r>
      <w:r>
        <w:rPr>
          <w:b/>
          <w:sz w:val="36"/>
        </w:rPr>
        <w:t xml:space="preserve"> – XXX</w:t>
      </w:r>
      <w:r>
        <w:rPr>
          <w:rFonts w:hint="eastAsia"/>
          <w:b/>
          <w:sz w:val="36"/>
        </w:rPr>
        <w:t>-</w:t>
      </w:r>
      <w:r>
        <w:rPr>
          <w:b/>
          <w:sz w:val="36"/>
        </w:rPr>
        <w:t xml:space="preserve"> 20</w:t>
      </w:r>
      <w:r>
        <w:rPr>
          <w:rFonts w:hint="eastAsia"/>
          <w:b/>
          <w:sz w:val="36"/>
        </w:rPr>
        <w:t>2</w:t>
      </w:r>
      <w:r>
        <w:rPr>
          <w:b/>
          <w:sz w:val="36"/>
        </w:rPr>
        <w:t>X</w:t>
      </w:r>
    </w:p>
    <w:p>
      <w:pPr>
        <w:spacing w:line="300" w:lineRule="auto"/>
        <w:jc w:val="center"/>
        <w:rPr>
          <w:sz w:val="36"/>
        </w:rPr>
      </w:pPr>
    </w:p>
    <w:p>
      <w:pPr>
        <w:pStyle w:val="2"/>
        <w:spacing w:line="300" w:lineRule="auto"/>
        <w:jc w:val="center"/>
      </w:pPr>
      <w:bookmarkStart w:id="122" w:name="_Toc404896088"/>
      <w:bookmarkStart w:id="123" w:name="_Toc436750101"/>
      <w:bookmarkStart w:id="124" w:name="_Toc24543008"/>
      <w:r>
        <w:rPr>
          <w:rFonts w:hint="eastAsia"/>
        </w:rPr>
        <w:t>条</w:t>
      </w:r>
      <w:r>
        <w:t xml:space="preserve"> </w:t>
      </w:r>
      <w:r>
        <w:rPr>
          <w:rFonts w:hint="eastAsia"/>
        </w:rPr>
        <w:t>文</w:t>
      </w:r>
      <w:r>
        <w:t xml:space="preserve"> </w:t>
      </w:r>
      <w:r>
        <w:rPr>
          <w:rFonts w:hint="eastAsia"/>
        </w:rPr>
        <w:t>说</w:t>
      </w:r>
      <w:r>
        <w:t xml:space="preserve"> </w:t>
      </w:r>
      <w:r>
        <w:rPr>
          <w:rFonts w:hint="eastAsia"/>
        </w:rPr>
        <w:t>明</w:t>
      </w:r>
      <w:bookmarkEnd w:id="122"/>
      <w:bookmarkEnd w:id="123"/>
      <w:bookmarkEnd w:id="124"/>
    </w:p>
    <w:p>
      <w:pPr>
        <w:pStyle w:val="20"/>
        <w:rPr>
          <w:rFonts w:ascii="Times New Roman" w:hAnsi="Times New Roman"/>
          <w:color w:val="auto"/>
          <w:sz w:val="24"/>
          <w:szCs w:val="24"/>
          <w:lang/>
        </w:rPr>
        <w:sectPr>
          <w:footerReference r:id="rId5" w:type="default"/>
          <w:pgSz w:w="11910" w:h="16850"/>
          <w:pgMar w:top="1540" w:right="1420" w:bottom="1260" w:left="1320" w:header="0" w:footer="1087" w:gutter="0"/>
          <w:cols w:space="720" w:num="1"/>
        </w:sectPr>
      </w:pPr>
    </w:p>
    <w:p>
      <w:pPr>
        <w:pStyle w:val="20"/>
        <w:jc w:val="center"/>
        <w:rPr>
          <w:rFonts w:ascii="Times New Roman" w:hAnsi="Times New Roman" w:eastAsia="宋体"/>
          <w:b/>
          <w:color w:val="auto"/>
        </w:rPr>
      </w:pPr>
      <w:r>
        <w:rPr>
          <w:rFonts w:hint="eastAsia" w:ascii="Times New Roman" w:hAnsi="Times New Roman" w:eastAsia="宋体"/>
          <w:b/>
          <w:color w:val="auto"/>
        </w:rPr>
        <w:t>目</w:t>
      </w:r>
      <w:r>
        <w:rPr>
          <w:rFonts w:ascii="Times New Roman" w:hAnsi="Times New Roman" w:eastAsia="宋体"/>
          <w:b/>
          <w:color w:val="auto"/>
        </w:rPr>
        <w:t xml:space="preserve">   </w:t>
      </w:r>
      <w:r>
        <w:rPr>
          <w:rFonts w:hint="eastAsia" w:ascii="Times New Roman" w:hAnsi="Times New Roman" w:eastAsia="宋体"/>
          <w:b/>
          <w:color w:val="auto"/>
        </w:rPr>
        <w:t>次</w:t>
      </w:r>
    </w:p>
    <w:p>
      <w:pPr>
        <w:spacing w:line="360" w:lineRule="auto"/>
        <w:rPr>
          <w:rFonts w:hint="eastAsia"/>
          <w:sz w:val="24"/>
        </w:rPr>
      </w:pPr>
    </w:p>
    <w:p>
      <w:pPr>
        <w:pStyle w:val="8"/>
        <w:jc w:val="both"/>
        <w:rPr>
          <w:lang/>
        </w:rPr>
      </w:pPr>
    </w:p>
    <w:p>
      <w:pPr>
        <w:pStyle w:val="8"/>
        <w:rPr>
          <w:sz w:val="24"/>
          <w:szCs w:val="24"/>
          <w:lang/>
        </w:rPr>
      </w:pPr>
      <w:r>
        <w:rPr>
          <w:sz w:val="24"/>
          <w:szCs w:val="24"/>
          <w:lang/>
        </w:rPr>
        <w:fldChar w:fldCharType="begin"/>
      </w:r>
      <w:r>
        <w:rPr>
          <w:rStyle w:val="16"/>
          <w:color w:val="auto"/>
          <w:sz w:val="24"/>
          <w:szCs w:val="24"/>
          <w:u w:val="none"/>
          <w:lang/>
        </w:rPr>
        <w:instrText xml:space="preserve"> </w:instrText>
      </w:r>
      <w:r>
        <w:rPr>
          <w:sz w:val="24"/>
          <w:szCs w:val="24"/>
          <w:lang/>
        </w:rPr>
        <w:instrText xml:space="preserve">HYPERLINK \l "_Toc24542983"</w:instrText>
      </w:r>
      <w:r>
        <w:rPr>
          <w:rStyle w:val="16"/>
          <w:color w:val="auto"/>
          <w:sz w:val="24"/>
          <w:szCs w:val="24"/>
          <w:u w:val="none"/>
          <w:lang/>
        </w:rPr>
        <w:instrText xml:space="preserve"> </w:instrText>
      </w:r>
      <w:r>
        <w:rPr>
          <w:sz w:val="24"/>
          <w:szCs w:val="24"/>
          <w:lang/>
        </w:rPr>
        <w:fldChar w:fldCharType="separate"/>
      </w:r>
      <w:r>
        <w:rPr>
          <w:rStyle w:val="16"/>
          <w:color w:val="auto"/>
          <w:sz w:val="24"/>
          <w:szCs w:val="24"/>
          <w:u w:val="none"/>
          <w:lang/>
        </w:rPr>
        <w:t>1</w:t>
      </w:r>
      <w:r>
        <w:rPr>
          <w:rStyle w:val="16"/>
          <w:rFonts w:hint="eastAsia"/>
          <w:color w:val="auto"/>
          <w:sz w:val="24"/>
          <w:szCs w:val="24"/>
          <w:u w:val="none"/>
          <w:lang/>
        </w:rPr>
        <w:t>总</w:t>
      </w:r>
      <w:bookmarkStart w:id="125" w:name="_Hlt32403446"/>
      <w:bookmarkStart w:id="126" w:name="_Hlt32403447"/>
      <w:r>
        <w:rPr>
          <w:rStyle w:val="16"/>
          <w:rFonts w:hint="eastAsia"/>
          <w:color w:val="auto"/>
          <w:sz w:val="24"/>
          <w:szCs w:val="24"/>
          <w:u w:val="none"/>
          <w:lang/>
        </w:rPr>
        <w:t>则</w:t>
      </w:r>
      <w:bookmarkEnd w:id="125"/>
      <w:bookmarkEnd w:id="126"/>
      <w:r>
        <w:rPr>
          <w:sz w:val="24"/>
          <w:szCs w:val="24"/>
          <w:lang/>
        </w:rPr>
        <w:tab/>
      </w:r>
      <w:r>
        <w:rPr>
          <w:rFonts w:hint="eastAsia"/>
          <w:sz w:val="24"/>
          <w:szCs w:val="24"/>
          <w:lang/>
        </w:rPr>
        <w:t>33</w:t>
      </w:r>
      <w:r>
        <w:rPr>
          <w:sz w:val="24"/>
          <w:szCs w:val="24"/>
          <w:lang/>
        </w:rPr>
        <w:fldChar w:fldCharType="end"/>
      </w:r>
    </w:p>
    <w:p>
      <w:pPr>
        <w:pStyle w:val="8"/>
        <w:rPr>
          <w:sz w:val="24"/>
          <w:szCs w:val="24"/>
          <w:lang/>
        </w:rPr>
      </w:pPr>
      <w:r>
        <w:rPr>
          <w:sz w:val="24"/>
          <w:szCs w:val="24"/>
          <w:lang/>
        </w:rPr>
        <w:fldChar w:fldCharType="begin"/>
      </w:r>
      <w:r>
        <w:rPr>
          <w:rStyle w:val="16"/>
          <w:color w:val="auto"/>
          <w:sz w:val="24"/>
          <w:szCs w:val="24"/>
          <w:u w:val="none"/>
          <w:lang/>
        </w:rPr>
        <w:instrText xml:space="preserve"> </w:instrText>
      </w:r>
      <w:r>
        <w:rPr>
          <w:sz w:val="24"/>
          <w:szCs w:val="24"/>
          <w:lang/>
        </w:rPr>
        <w:instrText xml:space="preserve">HYPERLINK \l "_Toc24542985"</w:instrText>
      </w:r>
      <w:r>
        <w:rPr>
          <w:rStyle w:val="16"/>
          <w:color w:val="auto"/>
          <w:sz w:val="24"/>
          <w:szCs w:val="24"/>
          <w:u w:val="none"/>
          <w:lang/>
        </w:rPr>
        <w:instrText xml:space="preserve"> </w:instrText>
      </w:r>
      <w:r>
        <w:rPr>
          <w:sz w:val="24"/>
          <w:szCs w:val="24"/>
          <w:lang/>
        </w:rPr>
        <w:fldChar w:fldCharType="separate"/>
      </w:r>
      <w:r>
        <w:rPr>
          <w:rStyle w:val="16"/>
          <w:color w:val="auto"/>
          <w:sz w:val="24"/>
          <w:szCs w:val="24"/>
          <w:u w:val="none"/>
          <w:lang/>
        </w:rPr>
        <w:t xml:space="preserve">3 </w:t>
      </w:r>
      <w:r>
        <w:rPr>
          <w:rStyle w:val="16"/>
          <w:rFonts w:hint="eastAsia"/>
          <w:color w:val="auto"/>
          <w:sz w:val="24"/>
          <w:szCs w:val="24"/>
          <w:u w:val="none"/>
          <w:lang/>
        </w:rPr>
        <w:t>基本规定</w:t>
      </w:r>
      <w:r>
        <w:rPr>
          <w:sz w:val="24"/>
          <w:szCs w:val="24"/>
          <w:lang/>
        </w:rPr>
        <w:tab/>
      </w:r>
      <w:r>
        <w:rPr>
          <w:rFonts w:hint="eastAsia"/>
          <w:sz w:val="24"/>
          <w:szCs w:val="24"/>
          <w:lang/>
        </w:rPr>
        <w:t>36</w:t>
      </w:r>
      <w:r>
        <w:rPr>
          <w:sz w:val="24"/>
          <w:szCs w:val="24"/>
          <w:lang/>
        </w:rPr>
        <w:fldChar w:fldCharType="end"/>
      </w:r>
    </w:p>
    <w:p>
      <w:pPr>
        <w:pStyle w:val="9"/>
        <w:tabs>
          <w:tab w:val="right" w:leader="dot" w:pos="9572"/>
        </w:tabs>
        <w:spacing w:line="360" w:lineRule="auto"/>
        <w:rPr>
          <w:sz w:val="24"/>
          <w:szCs w:val="24"/>
          <w:lang/>
        </w:rPr>
      </w:pPr>
      <w:r>
        <w:rPr>
          <w:sz w:val="24"/>
          <w:szCs w:val="24"/>
          <w:lang/>
        </w:rPr>
        <w:fldChar w:fldCharType="begin"/>
      </w:r>
      <w:r>
        <w:rPr>
          <w:rStyle w:val="16"/>
          <w:color w:val="auto"/>
          <w:sz w:val="24"/>
          <w:szCs w:val="24"/>
          <w:u w:val="none"/>
          <w:lang/>
        </w:rPr>
        <w:instrText xml:space="preserve"> </w:instrText>
      </w:r>
      <w:r>
        <w:rPr>
          <w:sz w:val="24"/>
          <w:szCs w:val="24"/>
          <w:lang/>
        </w:rPr>
        <w:instrText xml:space="preserve">HYPERLINK \l "_Toc24542986"</w:instrText>
      </w:r>
      <w:r>
        <w:rPr>
          <w:rStyle w:val="16"/>
          <w:color w:val="auto"/>
          <w:sz w:val="24"/>
          <w:szCs w:val="24"/>
          <w:u w:val="none"/>
          <w:lang/>
        </w:rPr>
        <w:instrText xml:space="preserve"> </w:instrText>
      </w:r>
      <w:r>
        <w:rPr>
          <w:sz w:val="24"/>
          <w:szCs w:val="24"/>
          <w:lang/>
        </w:rPr>
        <w:fldChar w:fldCharType="separate"/>
      </w:r>
      <w:r>
        <w:rPr>
          <w:rStyle w:val="16"/>
          <w:color w:val="auto"/>
          <w:sz w:val="24"/>
          <w:szCs w:val="24"/>
          <w:u w:val="none"/>
          <w:lang/>
        </w:rPr>
        <w:t xml:space="preserve">3.1 </w:t>
      </w:r>
      <w:r>
        <w:rPr>
          <w:rStyle w:val="16"/>
          <w:rFonts w:hint="eastAsia"/>
          <w:color w:val="auto"/>
          <w:sz w:val="24"/>
          <w:szCs w:val="24"/>
          <w:u w:val="none"/>
          <w:lang/>
        </w:rPr>
        <w:t>一般规定</w:t>
      </w:r>
      <w:r>
        <w:rPr>
          <w:sz w:val="24"/>
          <w:szCs w:val="24"/>
          <w:lang/>
        </w:rPr>
        <w:tab/>
      </w:r>
      <w:r>
        <w:rPr>
          <w:rFonts w:hint="eastAsia"/>
          <w:sz w:val="24"/>
          <w:szCs w:val="24"/>
          <w:lang/>
        </w:rPr>
        <w:t>36</w:t>
      </w:r>
      <w:r>
        <w:rPr>
          <w:sz w:val="24"/>
          <w:szCs w:val="24"/>
          <w:lang/>
        </w:rPr>
        <w:fldChar w:fldCharType="end"/>
      </w:r>
    </w:p>
    <w:p>
      <w:pPr>
        <w:pStyle w:val="9"/>
        <w:tabs>
          <w:tab w:val="right" w:leader="dot" w:pos="9572"/>
        </w:tabs>
        <w:spacing w:line="360" w:lineRule="auto"/>
        <w:rPr>
          <w:sz w:val="24"/>
          <w:szCs w:val="24"/>
          <w:lang/>
        </w:rPr>
      </w:pPr>
      <w:r>
        <w:rPr>
          <w:sz w:val="24"/>
          <w:szCs w:val="24"/>
          <w:lang/>
        </w:rPr>
        <w:fldChar w:fldCharType="begin"/>
      </w:r>
      <w:r>
        <w:rPr>
          <w:rStyle w:val="16"/>
          <w:color w:val="auto"/>
          <w:sz w:val="24"/>
          <w:szCs w:val="24"/>
          <w:u w:val="none"/>
          <w:lang/>
        </w:rPr>
        <w:instrText xml:space="preserve"> </w:instrText>
      </w:r>
      <w:r>
        <w:rPr>
          <w:sz w:val="24"/>
          <w:szCs w:val="24"/>
          <w:lang/>
        </w:rPr>
        <w:instrText xml:space="preserve">HYPERLINK \l "_Toc24542987"</w:instrText>
      </w:r>
      <w:r>
        <w:rPr>
          <w:rStyle w:val="16"/>
          <w:color w:val="auto"/>
          <w:sz w:val="24"/>
          <w:szCs w:val="24"/>
          <w:u w:val="none"/>
          <w:lang/>
        </w:rPr>
        <w:instrText xml:space="preserve"> </w:instrText>
      </w:r>
      <w:r>
        <w:rPr>
          <w:sz w:val="24"/>
          <w:szCs w:val="24"/>
          <w:lang/>
        </w:rPr>
        <w:fldChar w:fldCharType="separate"/>
      </w:r>
      <w:r>
        <w:rPr>
          <w:rStyle w:val="16"/>
          <w:color w:val="auto"/>
          <w:sz w:val="24"/>
          <w:szCs w:val="24"/>
          <w:u w:val="none"/>
          <w:lang/>
        </w:rPr>
        <w:t xml:space="preserve">3.2 </w:t>
      </w:r>
      <w:r>
        <w:rPr>
          <w:rStyle w:val="16"/>
          <w:rFonts w:hint="eastAsia"/>
          <w:color w:val="auto"/>
          <w:sz w:val="24"/>
          <w:szCs w:val="24"/>
          <w:u w:val="none"/>
          <w:lang/>
        </w:rPr>
        <w:t>评价与等级划分</w:t>
      </w:r>
      <w:r>
        <w:rPr>
          <w:sz w:val="24"/>
          <w:szCs w:val="24"/>
          <w:lang/>
        </w:rPr>
        <w:tab/>
      </w:r>
      <w:r>
        <w:rPr>
          <w:rFonts w:hint="eastAsia"/>
          <w:sz w:val="24"/>
          <w:szCs w:val="24"/>
          <w:lang/>
        </w:rPr>
        <w:t>39</w:t>
      </w:r>
      <w:r>
        <w:rPr>
          <w:sz w:val="24"/>
          <w:szCs w:val="24"/>
          <w:lang/>
        </w:rPr>
        <w:fldChar w:fldCharType="end"/>
      </w:r>
    </w:p>
    <w:p>
      <w:pPr>
        <w:pStyle w:val="8"/>
        <w:rPr>
          <w:sz w:val="24"/>
          <w:szCs w:val="24"/>
          <w:lang/>
        </w:rPr>
      </w:pPr>
      <w:r>
        <w:rPr>
          <w:sz w:val="24"/>
          <w:szCs w:val="24"/>
          <w:lang/>
        </w:rPr>
        <w:fldChar w:fldCharType="begin"/>
      </w:r>
      <w:r>
        <w:rPr>
          <w:rStyle w:val="16"/>
          <w:color w:val="auto"/>
          <w:sz w:val="24"/>
          <w:szCs w:val="24"/>
          <w:u w:val="none"/>
          <w:lang/>
        </w:rPr>
        <w:instrText xml:space="preserve"> </w:instrText>
      </w:r>
      <w:r>
        <w:rPr>
          <w:sz w:val="24"/>
          <w:szCs w:val="24"/>
          <w:lang/>
        </w:rPr>
        <w:instrText xml:space="preserve">HYPERLINK \l "_Toc24542988"</w:instrText>
      </w:r>
      <w:r>
        <w:rPr>
          <w:rStyle w:val="16"/>
          <w:color w:val="auto"/>
          <w:sz w:val="24"/>
          <w:szCs w:val="24"/>
          <w:u w:val="none"/>
          <w:lang/>
        </w:rPr>
        <w:instrText xml:space="preserve"> </w:instrText>
      </w:r>
      <w:r>
        <w:rPr>
          <w:sz w:val="24"/>
          <w:szCs w:val="24"/>
          <w:lang/>
        </w:rPr>
        <w:fldChar w:fldCharType="separate"/>
      </w:r>
      <w:r>
        <w:rPr>
          <w:rStyle w:val="16"/>
          <w:color w:val="auto"/>
          <w:sz w:val="24"/>
          <w:szCs w:val="24"/>
          <w:u w:val="none"/>
          <w:lang/>
        </w:rPr>
        <w:t xml:space="preserve">4 </w:t>
      </w:r>
      <w:r>
        <w:rPr>
          <w:rStyle w:val="16"/>
          <w:rFonts w:hint="eastAsia"/>
          <w:color w:val="auto"/>
          <w:sz w:val="24"/>
          <w:szCs w:val="24"/>
          <w:u w:val="none"/>
          <w:lang/>
        </w:rPr>
        <w:t>安全耐久</w:t>
      </w:r>
      <w:r>
        <w:rPr>
          <w:sz w:val="24"/>
          <w:szCs w:val="24"/>
          <w:lang/>
        </w:rPr>
        <w:tab/>
      </w:r>
      <w:r>
        <w:rPr>
          <w:rFonts w:hint="eastAsia"/>
          <w:sz w:val="24"/>
          <w:szCs w:val="24"/>
          <w:lang/>
        </w:rPr>
        <w:t>46</w:t>
      </w:r>
      <w:r>
        <w:rPr>
          <w:sz w:val="24"/>
          <w:szCs w:val="24"/>
          <w:lang/>
        </w:rPr>
        <w:fldChar w:fldCharType="end"/>
      </w:r>
    </w:p>
    <w:p>
      <w:pPr>
        <w:pStyle w:val="9"/>
        <w:tabs>
          <w:tab w:val="right" w:leader="dot" w:pos="9572"/>
        </w:tabs>
        <w:spacing w:line="360" w:lineRule="auto"/>
        <w:rPr>
          <w:sz w:val="24"/>
          <w:szCs w:val="24"/>
          <w:lang/>
        </w:rPr>
      </w:pPr>
      <w:r>
        <w:rPr>
          <w:sz w:val="24"/>
          <w:szCs w:val="24"/>
          <w:lang/>
        </w:rPr>
        <w:fldChar w:fldCharType="begin"/>
      </w:r>
      <w:r>
        <w:rPr>
          <w:rStyle w:val="16"/>
          <w:color w:val="auto"/>
          <w:sz w:val="24"/>
          <w:szCs w:val="24"/>
          <w:u w:val="none"/>
          <w:lang/>
        </w:rPr>
        <w:instrText xml:space="preserve"> </w:instrText>
      </w:r>
      <w:r>
        <w:rPr>
          <w:sz w:val="24"/>
          <w:szCs w:val="24"/>
          <w:lang/>
        </w:rPr>
        <w:instrText xml:space="preserve">HYPERLINK \l "_Toc24542989"</w:instrText>
      </w:r>
      <w:r>
        <w:rPr>
          <w:rStyle w:val="16"/>
          <w:color w:val="auto"/>
          <w:sz w:val="24"/>
          <w:szCs w:val="24"/>
          <w:u w:val="none"/>
          <w:lang/>
        </w:rPr>
        <w:instrText xml:space="preserve"> </w:instrText>
      </w:r>
      <w:r>
        <w:rPr>
          <w:sz w:val="24"/>
          <w:szCs w:val="24"/>
          <w:lang/>
        </w:rPr>
        <w:fldChar w:fldCharType="separate"/>
      </w:r>
      <w:r>
        <w:rPr>
          <w:rStyle w:val="16"/>
          <w:color w:val="auto"/>
          <w:sz w:val="24"/>
          <w:szCs w:val="24"/>
          <w:u w:val="none"/>
          <w:lang/>
        </w:rPr>
        <w:t xml:space="preserve">4.1 </w:t>
      </w:r>
      <w:r>
        <w:rPr>
          <w:rStyle w:val="16"/>
          <w:rFonts w:hint="eastAsia"/>
          <w:color w:val="auto"/>
          <w:sz w:val="24"/>
          <w:szCs w:val="24"/>
          <w:u w:val="none"/>
          <w:lang/>
        </w:rPr>
        <w:t>控制项</w:t>
      </w:r>
      <w:r>
        <w:rPr>
          <w:sz w:val="24"/>
          <w:szCs w:val="24"/>
          <w:lang/>
        </w:rPr>
        <w:tab/>
      </w:r>
      <w:r>
        <w:rPr>
          <w:rFonts w:hint="eastAsia"/>
          <w:sz w:val="24"/>
          <w:szCs w:val="24"/>
          <w:lang/>
        </w:rPr>
        <w:t>46</w:t>
      </w:r>
      <w:r>
        <w:rPr>
          <w:sz w:val="24"/>
          <w:szCs w:val="24"/>
          <w:lang/>
        </w:rPr>
        <w:fldChar w:fldCharType="end"/>
      </w:r>
    </w:p>
    <w:p>
      <w:pPr>
        <w:pStyle w:val="9"/>
        <w:tabs>
          <w:tab w:val="right" w:leader="dot" w:pos="9572"/>
        </w:tabs>
        <w:spacing w:line="360" w:lineRule="auto"/>
        <w:rPr>
          <w:sz w:val="24"/>
          <w:szCs w:val="24"/>
          <w:lang/>
        </w:rPr>
      </w:pPr>
      <w:r>
        <w:rPr>
          <w:sz w:val="24"/>
          <w:szCs w:val="24"/>
          <w:lang/>
        </w:rPr>
        <w:fldChar w:fldCharType="begin"/>
      </w:r>
      <w:r>
        <w:rPr>
          <w:rStyle w:val="16"/>
          <w:color w:val="auto"/>
          <w:sz w:val="24"/>
          <w:szCs w:val="24"/>
          <w:u w:val="none"/>
          <w:lang/>
        </w:rPr>
        <w:instrText xml:space="preserve"> </w:instrText>
      </w:r>
      <w:r>
        <w:rPr>
          <w:sz w:val="24"/>
          <w:szCs w:val="24"/>
          <w:lang/>
        </w:rPr>
        <w:instrText xml:space="preserve">HYPERLINK \l "_Toc24542990"</w:instrText>
      </w:r>
      <w:r>
        <w:rPr>
          <w:rStyle w:val="16"/>
          <w:color w:val="auto"/>
          <w:sz w:val="24"/>
          <w:szCs w:val="24"/>
          <w:u w:val="none"/>
          <w:lang/>
        </w:rPr>
        <w:instrText xml:space="preserve"> </w:instrText>
      </w:r>
      <w:r>
        <w:rPr>
          <w:sz w:val="24"/>
          <w:szCs w:val="24"/>
          <w:lang/>
        </w:rPr>
        <w:fldChar w:fldCharType="separate"/>
      </w:r>
      <w:r>
        <w:rPr>
          <w:rStyle w:val="16"/>
          <w:color w:val="auto"/>
          <w:sz w:val="24"/>
          <w:szCs w:val="24"/>
          <w:u w:val="none"/>
          <w:lang/>
        </w:rPr>
        <w:t xml:space="preserve">4.2 </w:t>
      </w:r>
      <w:r>
        <w:rPr>
          <w:rStyle w:val="16"/>
          <w:rFonts w:hint="eastAsia"/>
          <w:color w:val="auto"/>
          <w:sz w:val="24"/>
          <w:szCs w:val="24"/>
          <w:u w:val="none"/>
          <w:lang/>
        </w:rPr>
        <w:t>评分项</w:t>
      </w:r>
      <w:r>
        <w:rPr>
          <w:sz w:val="24"/>
          <w:szCs w:val="24"/>
          <w:lang/>
        </w:rPr>
        <w:tab/>
      </w:r>
      <w:r>
        <w:rPr>
          <w:rFonts w:hint="eastAsia"/>
          <w:sz w:val="24"/>
          <w:szCs w:val="24"/>
          <w:lang/>
        </w:rPr>
        <w:t>50</w:t>
      </w:r>
      <w:r>
        <w:rPr>
          <w:sz w:val="24"/>
          <w:szCs w:val="24"/>
          <w:lang/>
        </w:rPr>
        <w:fldChar w:fldCharType="end"/>
      </w:r>
    </w:p>
    <w:p>
      <w:pPr>
        <w:pStyle w:val="8"/>
        <w:rPr>
          <w:sz w:val="24"/>
          <w:szCs w:val="24"/>
          <w:lang/>
        </w:rPr>
      </w:pPr>
      <w:r>
        <w:rPr>
          <w:sz w:val="24"/>
          <w:szCs w:val="24"/>
          <w:lang/>
        </w:rPr>
        <w:fldChar w:fldCharType="begin"/>
      </w:r>
      <w:r>
        <w:rPr>
          <w:rStyle w:val="16"/>
          <w:color w:val="auto"/>
          <w:sz w:val="24"/>
          <w:szCs w:val="24"/>
          <w:u w:val="none"/>
          <w:lang/>
        </w:rPr>
        <w:instrText xml:space="preserve"> </w:instrText>
      </w:r>
      <w:r>
        <w:rPr>
          <w:sz w:val="24"/>
          <w:szCs w:val="24"/>
          <w:lang/>
        </w:rPr>
        <w:instrText xml:space="preserve">HYPERLINK \l "_Toc24542991"</w:instrText>
      </w:r>
      <w:r>
        <w:rPr>
          <w:rStyle w:val="16"/>
          <w:color w:val="auto"/>
          <w:sz w:val="24"/>
          <w:szCs w:val="24"/>
          <w:u w:val="none"/>
          <w:lang/>
        </w:rPr>
        <w:instrText xml:space="preserve"> </w:instrText>
      </w:r>
      <w:r>
        <w:rPr>
          <w:sz w:val="24"/>
          <w:szCs w:val="24"/>
          <w:lang/>
        </w:rPr>
        <w:fldChar w:fldCharType="separate"/>
      </w:r>
      <w:r>
        <w:rPr>
          <w:rStyle w:val="16"/>
          <w:color w:val="auto"/>
          <w:sz w:val="24"/>
          <w:szCs w:val="24"/>
          <w:u w:val="none"/>
          <w:lang/>
        </w:rPr>
        <w:t xml:space="preserve">5 </w:t>
      </w:r>
      <w:r>
        <w:rPr>
          <w:rStyle w:val="16"/>
          <w:rFonts w:hint="eastAsia"/>
          <w:color w:val="auto"/>
          <w:sz w:val="24"/>
          <w:szCs w:val="24"/>
          <w:u w:val="none"/>
          <w:lang/>
        </w:rPr>
        <w:t>健康舒适</w:t>
      </w:r>
      <w:r>
        <w:rPr>
          <w:sz w:val="24"/>
          <w:szCs w:val="24"/>
          <w:lang/>
        </w:rPr>
        <w:tab/>
      </w:r>
      <w:r>
        <w:rPr>
          <w:rFonts w:hint="eastAsia"/>
          <w:sz w:val="24"/>
          <w:szCs w:val="24"/>
          <w:lang/>
        </w:rPr>
        <w:t>56</w:t>
      </w:r>
      <w:r>
        <w:rPr>
          <w:sz w:val="24"/>
          <w:szCs w:val="24"/>
          <w:lang/>
        </w:rPr>
        <w:fldChar w:fldCharType="end"/>
      </w:r>
    </w:p>
    <w:p>
      <w:pPr>
        <w:pStyle w:val="9"/>
        <w:tabs>
          <w:tab w:val="right" w:leader="dot" w:pos="9572"/>
        </w:tabs>
        <w:spacing w:line="360" w:lineRule="auto"/>
        <w:rPr>
          <w:sz w:val="24"/>
          <w:szCs w:val="24"/>
          <w:lang/>
        </w:rPr>
      </w:pPr>
      <w:r>
        <w:rPr>
          <w:sz w:val="24"/>
          <w:szCs w:val="24"/>
          <w:lang/>
        </w:rPr>
        <w:fldChar w:fldCharType="begin"/>
      </w:r>
      <w:r>
        <w:rPr>
          <w:rStyle w:val="16"/>
          <w:color w:val="auto"/>
          <w:sz w:val="24"/>
          <w:szCs w:val="24"/>
          <w:u w:val="none"/>
          <w:lang/>
        </w:rPr>
        <w:instrText xml:space="preserve"> </w:instrText>
      </w:r>
      <w:r>
        <w:rPr>
          <w:sz w:val="24"/>
          <w:szCs w:val="24"/>
          <w:lang/>
        </w:rPr>
        <w:instrText xml:space="preserve">HYPERLINK \l "_Toc24542992"</w:instrText>
      </w:r>
      <w:r>
        <w:rPr>
          <w:rStyle w:val="16"/>
          <w:color w:val="auto"/>
          <w:sz w:val="24"/>
          <w:szCs w:val="24"/>
          <w:u w:val="none"/>
          <w:lang/>
        </w:rPr>
        <w:instrText xml:space="preserve"> </w:instrText>
      </w:r>
      <w:r>
        <w:rPr>
          <w:sz w:val="24"/>
          <w:szCs w:val="24"/>
          <w:lang/>
        </w:rPr>
        <w:fldChar w:fldCharType="separate"/>
      </w:r>
      <w:r>
        <w:rPr>
          <w:rStyle w:val="16"/>
          <w:color w:val="auto"/>
          <w:sz w:val="24"/>
          <w:szCs w:val="24"/>
          <w:u w:val="none"/>
          <w:lang/>
        </w:rPr>
        <w:t xml:space="preserve">5.1 </w:t>
      </w:r>
      <w:r>
        <w:rPr>
          <w:rStyle w:val="16"/>
          <w:rFonts w:hint="eastAsia"/>
          <w:color w:val="auto"/>
          <w:sz w:val="24"/>
          <w:szCs w:val="24"/>
          <w:u w:val="none"/>
          <w:lang/>
        </w:rPr>
        <w:t>控制项</w:t>
      </w:r>
      <w:r>
        <w:rPr>
          <w:sz w:val="24"/>
          <w:szCs w:val="24"/>
          <w:lang/>
        </w:rPr>
        <w:tab/>
      </w:r>
      <w:r>
        <w:rPr>
          <w:rFonts w:hint="eastAsia"/>
          <w:sz w:val="24"/>
          <w:szCs w:val="24"/>
          <w:lang/>
        </w:rPr>
        <w:t>56</w:t>
      </w:r>
      <w:r>
        <w:rPr>
          <w:sz w:val="24"/>
          <w:szCs w:val="24"/>
          <w:lang/>
        </w:rPr>
        <w:fldChar w:fldCharType="end"/>
      </w:r>
    </w:p>
    <w:p>
      <w:pPr>
        <w:pStyle w:val="9"/>
        <w:tabs>
          <w:tab w:val="right" w:leader="dot" w:pos="9572"/>
        </w:tabs>
        <w:spacing w:line="360" w:lineRule="auto"/>
        <w:rPr>
          <w:sz w:val="24"/>
          <w:szCs w:val="24"/>
          <w:lang/>
        </w:rPr>
      </w:pPr>
      <w:r>
        <w:rPr>
          <w:sz w:val="24"/>
          <w:szCs w:val="24"/>
          <w:lang/>
        </w:rPr>
        <w:fldChar w:fldCharType="begin"/>
      </w:r>
      <w:r>
        <w:rPr>
          <w:rStyle w:val="16"/>
          <w:color w:val="auto"/>
          <w:sz w:val="24"/>
          <w:szCs w:val="24"/>
          <w:u w:val="none"/>
          <w:lang/>
        </w:rPr>
        <w:instrText xml:space="preserve"> </w:instrText>
      </w:r>
      <w:r>
        <w:rPr>
          <w:sz w:val="24"/>
          <w:szCs w:val="24"/>
          <w:lang/>
        </w:rPr>
        <w:instrText xml:space="preserve">HYPERLINK \l "_Toc24542993"</w:instrText>
      </w:r>
      <w:r>
        <w:rPr>
          <w:rStyle w:val="16"/>
          <w:color w:val="auto"/>
          <w:sz w:val="24"/>
          <w:szCs w:val="24"/>
          <w:u w:val="none"/>
          <w:lang/>
        </w:rPr>
        <w:instrText xml:space="preserve"> </w:instrText>
      </w:r>
      <w:r>
        <w:rPr>
          <w:sz w:val="24"/>
          <w:szCs w:val="24"/>
          <w:lang/>
        </w:rPr>
        <w:fldChar w:fldCharType="separate"/>
      </w:r>
      <w:r>
        <w:rPr>
          <w:rStyle w:val="16"/>
          <w:color w:val="auto"/>
          <w:sz w:val="24"/>
          <w:szCs w:val="24"/>
          <w:u w:val="none"/>
          <w:lang/>
        </w:rPr>
        <w:t xml:space="preserve">5.2 </w:t>
      </w:r>
      <w:r>
        <w:rPr>
          <w:rStyle w:val="16"/>
          <w:rFonts w:hint="eastAsia"/>
          <w:color w:val="auto"/>
          <w:sz w:val="24"/>
          <w:szCs w:val="24"/>
          <w:u w:val="none"/>
          <w:lang/>
        </w:rPr>
        <w:t>评分项</w:t>
      </w:r>
      <w:r>
        <w:rPr>
          <w:sz w:val="24"/>
          <w:szCs w:val="24"/>
          <w:lang/>
        </w:rPr>
        <w:tab/>
      </w:r>
      <w:r>
        <w:rPr>
          <w:rFonts w:hint="eastAsia"/>
          <w:sz w:val="24"/>
          <w:szCs w:val="24"/>
          <w:lang/>
        </w:rPr>
        <w:t>61</w:t>
      </w:r>
      <w:r>
        <w:rPr>
          <w:sz w:val="24"/>
          <w:szCs w:val="24"/>
          <w:lang/>
        </w:rPr>
        <w:fldChar w:fldCharType="end"/>
      </w:r>
    </w:p>
    <w:p>
      <w:pPr>
        <w:pStyle w:val="8"/>
        <w:rPr>
          <w:sz w:val="24"/>
          <w:szCs w:val="24"/>
          <w:lang/>
        </w:rPr>
      </w:pPr>
      <w:r>
        <w:rPr>
          <w:sz w:val="24"/>
          <w:szCs w:val="24"/>
          <w:lang/>
        </w:rPr>
        <w:fldChar w:fldCharType="begin"/>
      </w:r>
      <w:r>
        <w:rPr>
          <w:rStyle w:val="16"/>
          <w:color w:val="auto"/>
          <w:sz w:val="24"/>
          <w:szCs w:val="24"/>
          <w:u w:val="none"/>
          <w:lang/>
        </w:rPr>
        <w:instrText xml:space="preserve"> </w:instrText>
      </w:r>
      <w:r>
        <w:rPr>
          <w:sz w:val="24"/>
          <w:szCs w:val="24"/>
          <w:lang/>
        </w:rPr>
        <w:instrText xml:space="preserve">HYPERLINK \l "_Toc24542994"</w:instrText>
      </w:r>
      <w:r>
        <w:rPr>
          <w:rStyle w:val="16"/>
          <w:color w:val="auto"/>
          <w:sz w:val="24"/>
          <w:szCs w:val="24"/>
          <w:u w:val="none"/>
          <w:lang/>
        </w:rPr>
        <w:instrText xml:space="preserve"> </w:instrText>
      </w:r>
      <w:r>
        <w:rPr>
          <w:sz w:val="24"/>
          <w:szCs w:val="24"/>
          <w:lang/>
        </w:rPr>
        <w:fldChar w:fldCharType="separate"/>
      </w:r>
      <w:r>
        <w:rPr>
          <w:rStyle w:val="16"/>
          <w:color w:val="auto"/>
          <w:sz w:val="24"/>
          <w:szCs w:val="24"/>
          <w:u w:val="none"/>
          <w:lang/>
        </w:rPr>
        <w:t xml:space="preserve">6 </w:t>
      </w:r>
      <w:r>
        <w:rPr>
          <w:rStyle w:val="16"/>
          <w:rFonts w:hint="eastAsia"/>
          <w:color w:val="auto"/>
          <w:sz w:val="24"/>
          <w:szCs w:val="24"/>
          <w:u w:val="none"/>
          <w:lang/>
        </w:rPr>
        <w:t>生活便利</w:t>
      </w:r>
      <w:r>
        <w:rPr>
          <w:sz w:val="24"/>
          <w:szCs w:val="24"/>
          <w:lang/>
        </w:rPr>
        <w:tab/>
      </w:r>
      <w:r>
        <w:rPr>
          <w:rFonts w:hint="eastAsia"/>
          <w:sz w:val="24"/>
          <w:szCs w:val="24"/>
          <w:lang/>
        </w:rPr>
        <w:t>69</w:t>
      </w:r>
      <w:r>
        <w:rPr>
          <w:sz w:val="24"/>
          <w:szCs w:val="24"/>
          <w:lang/>
        </w:rPr>
        <w:fldChar w:fldCharType="end"/>
      </w:r>
    </w:p>
    <w:p>
      <w:pPr>
        <w:pStyle w:val="9"/>
        <w:tabs>
          <w:tab w:val="right" w:leader="dot" w:pos="9572"/>
        </w:tabs>
        <w:spacing w:line="360" w:lineRule="auto"/>
        <w:rPr>
          <w:sz w:val="24"/>
          <w:szCs w:val="24"/>
          <w:lang/>
        </w:rPr>
      </w:pPr>
      <w:r>
        <w:rPr>
          <w:sz w:val="24"/>
          <w:szCs w:val="24"/>
          <w:lang/>
        </w:rPr>
        <w:fldChar w:fldCharType="begin"/>
      </w:r>
      <w:r>
        <w:rPr>
          <w:rStyle w:val="16"/>
          <w:color w:val="auto"/>
          <w:sz w:val="24"/>
          <w:szCs w:val="24"/>
          <w:u w:val="none"/>
          <w:lang/>
        </w:rPr>
        <w:instrText xml:space="preserve"> </w:instrText>
      </w:r>
      <w:r>
        <w:rPr>
          <w:sz w:val="24"/>
          <w:szCs w:val="24"/>
          <w:lang/>
        </w:rPr>
        <w:instrText xml:space="preserve">HYPERLINK \l "_Toc24542995"</w:instrText>
      </w:r>
      <w:r>
        <w:rPr>
          <w:rStyle w:val="16"/>
          <w:color w:val="auto"/>
          <w:sz w:val="24"/>
          <w:szCs w:val="24"/>
          <w:u w:val="none"/>
          <w:lang/>
        </w:rPr>
        <w:instrText xml:space="preserve"> </w:instrText>
      </w:r>
      <w:r>
        <w:rPr>
          <w:sz w:val="24"/>
          <w:szCs w:val="24"/>
          <w:lang/>
        </w:rPr>
        <w:fldChar w:fldCharType="separate"/>
      </w:r>
      <w:r>
        <w:rPr>
          <w:rStyle w:val="16"/>
          <w:color w:val="auto"/>
          <w:sz w:val="24"/>
          <w:szCs w:val="24"/>
          <w:u w:val="none"/>
          <w:lang/>
        </w:rPr>
        <w:t xml:space="preserve">6.1 </w:t>
      </w:r>
      <w:r>
        <w:rPr>
          <w:rStyle w:val="16"/>
          <w:rFonts w:hint="eastAsia"/>
          <w:color w:val="auto"/>
          <w:sz w:val="24"/>
          <w:szCs w:val="24"/>
          <w:u w:val="none"/>
          <w:lang/>
        </w:rPr>
        <w:t>控制项</w:t>
      </w:r>
      <w:r>
        <w:rPr>
          <w:sz w:val="24"/>
          <w:szCs w:val="24"/>
          <w:lang/>
        </w:rPr>
        <w:tab/>
      </w:r>
      <w:r>
        <w:rPr>
          <w:rFonts w:hint="eastAsia"/>
          <w:sz w:val="24"/>
          <w:szCs w:val="24"/>
          <w:lang/>
        </w:rPr>
        <w:t>69</w:t>
      </w:r>
      <w:r>
        <w:rPr>
          <w:sz w:val="24"/>
          <w:szCs w:val="24"/>
          <w:lang/>
        </w:rPr>
        <w:fldChar w:fldCharType="end"/>
      </w:r>
    </w:p>
    <w:p>
      <w:pPr>
        <w:pStyle w:val="9"/>
        <w:tabs>
          <w:tab w:val="right" w:leader="dot" w:pos="9572"/>
        </w:tabs>
        <w:spacing w:line="360" w:lineRule="auto"/>
        <w:rPr>
          <w:sz w:val="24"/>
          <w:szCs w:val="24"/>
          <w:lang/>
        </w:rPr>
      </w:pPr>
      <w:r>
        <w:rPr>
          <w:sz w:val="24"/>
          <w:szCs w:val="24"/>
          <w:lang/>
        </w:rPr>
        <w:fldChar w:fldCharType="begin"/>
      </w:r>
      <w:r>
        <w:rPr>
          <w:rStyle w:val="16"/>
          <w:color w:val="auto"/>
          <w:sz w:val="24"/>
          <w:szCs w:val="24"/>
          <w:u w:val="none"/>
          <w:lang/>
        </w:rPr>
        <w:instrText xml:space="preserve"> </w:instrText>
      </w:r>
      <w:r>
        <w:rPr>
          <w:sz w:val="24"/>
          <w:szCs w:val="24"/>
          <w:lang/>
        </w:rPr>
        <w:instrText xml:space="preserve">HYPERLINK \l "_Toc24542996"</w:instrText>
      </w:r>
      <w:r>
        <w:rPr>
          <w:rStyle w:val="16"/>
          <w:color w:val="auto"/>
          <w:sz w:val="24"/>
          <w:szCs w:val="24"/>
          <w:u w:val="none"/>
          <w:lang/>
        </w:rPr>
        <w:instrText xml:space="preserve"> </w:instrText>
      </w:r>
      <w:r>
        <w:rPr>
          <w:sz w:val="24"/>
          <w:szCs w:val="24"/>
          <w:lang/>
        </w:rPr>
        <w:fldChar w:fldCharType="separate"/>
      </w:r>
      <w:r>
        <w:rPr>
          <w:rStyle w:val="16"/>
          <w:color w:val="auto"/>
          <w:sz w:val="24"/>
          <w:szCs w:val="24"/>
          <w:u w:val="none"/>
          <w:lang/>
        </w:rPr>
        <w:t xml:space="preserve">6.2 </w:t>
      </w:r>
      <w:r>
        <w:rPr>
          <w:rStyle w:val="16"/>
          <w:rFonts w:hint="eastAsia"/>
          <w:color w:val="auto"/>
          <w:sz w:val="24"/>
          <w:szCs w:val="24"/>
          <w:u w:val="none"/>
          <w:lang/>
        </w:rPr>
        <w:t>评分项</w:t>
      </w:r>
      <w:r>
        <w:rPr>
          <w:sz w:val="24"/>
          <w:szCs w:val="24"/>
          <w:lang/>
        </w:rPr>
        <w:tab/>
      </w:r>
      <w:r>
        <w:rPr>
          <w:rFonts w:hint="eastAsia"/>
          <w:sz w:val="24"/>
          <w:szCs w:val="24"/>
          <w:lang/>
        </w:rPr>
        <w:t>71</w:t>
      </w:r>
      <w:r>
        <w:rPr>
          <w:sz w:val="24"/>
          <w:szCs w:val="24"/>
          <w:lang/>
        </w:rPr>
        <w:fldChar w:fldCharType="end"/>
      </w:r>
    </w:p>
    <w:p>
      <w:pPr>
        <w:pStyle w:val="8"/>
        <w:rPr>
          <w:sz w:val="24"/>
          <w:szCs w:val="24"/>
          <w:lang/>
        </w:rPr>
      </w:pPr>
      <w:r>
        <w:rPr>
          <w:sz w:val="24"/>
          <w:szCs w:val="24"/>
          <w:lang/>
        </w:rPr>
        <w:fldChar w:fldCharType="begin"/>
      </w:r>
      <w:r>
        <w:rPr>
          <w:rStyle w:val="16"/>
          <w:color w:val="auto"/>
          <w:sz w:val="24"/>
          <w:szCs w:val="24"/>
          <w:u w:val="none"/>
          <w:lang/>
        </w:rPr>
        <w:instrText xml:space="preserve"> </w:instrText>
      </w:r>
      <w:r>
        <w:rPr>
          <w:sz w:val="24"/>
          <w:szCs w:val="24"/>
          <w:lang/>
        </w:rPr>
        <w:instrText xml:space="preserve">HYPERLINK \l "_Toc24542997"</w:instrText>
      </w:r>
      <w:r>
        <w:rPr>
          <w:rStyle w:val="16"/>
          <w:color w:val="auto"/>
          <w:sz w:val="24"/>
          <w:szCs w:val="24"/>
          <w:u w:val="none"/>
          <w:lang/>
        </w:rPr>
        <w:instrText xml:space="preserve"> </w:instrText>
      </w:r>
      <w:r>
        <w:rPr>
          <w:sz w:val="24"/>
          <w:szCs w:val="24"/>
          <w:lang/>
        </w:rPr>
        <w:fldChar w:fldCharType="separate"/>
      </w:r>
      <w:r>
        <w:rPr>
          <w:rStyle w:val="16"/>
          <w:color w:val="auto"/>
          <w:sz w:val="24"/>
          <w:szCs w:val="24"/>
          <w:u w:val="none"/>
          <w:lang/>
        </w:rPr>
        <w:t xml:space="preserve">7 </w:t>
      </w:r>
      <w:r>
        <w:rPr>
          <w:rStyle w:val="16"/>
          <w:rFonts w:hint="eastAsia"/>
          <w:color w:val="auto"/>
          <w:sz w:val="24"/>
          <w:szCs w:val="24"/>
          <w:u w:val="none"/>
          <w:lang/>
        </w:rPr>
        <w:t>资源节约</w:t>
      </w:r>
      <w:r>
        <w:rPr>
          <w:sz w:val="24"/>
          <w:szCs w:val="24"/>
          <w:lang/>
        </w:rPr>
        <w:tab/>
      </w:r>
      <w:r>
        <w:rPr>
          <w:rFonts w:hint="eastAsia"/>
          <w:sz w:val="24"/>
          <w:szCs w:val="24"/>
          <w:lang/>
        </w:rPr>
        <w:t>80</w:t>
      </w:r>
      <w:r>
        <w:rPr>
          <w:sz w:val="24"/>
          <w:szCs w:val="24"/>
          <w:lang/>
        </w:rPr>
        <w:fldChar w:fldCharType="end"/>
      </w:r>
    </w:p>
    <w:p>
      <w:pPr>
        <w:pStyle w:val="9"/>
        <w:tabs>
          <w:tab w:val="right" w:leader="dot" w:pos="9572"/>
        </w:tabs>
        <w:spacing w:line="360" w:lineRule="auto"/>
        <w:rPr>
          <w:sz w:val="24"/>
          <w:szCs w:val="24"/>
          <w:lang/>
        </w:rPr>
      </w:pPr>
      <w:r>
        <w:rPr>
          <w:sz w:val="24"/>
          <w:szCs w:val="24"/>
          <w:lang/>
        </w:rPr>
        <w:fldChar w:fldCharType="begin"/>
      </w:r>
      <w:r>
        <w:rPr>
          <w:rStyle w:val="16"/>
          <w:color w:val="auto"/>
          <w:sz w:val="24"/>
          <w:szCs w:val="24"/>
          <w:u w:val="none"/>
          <w:lang/>
        </w:rPr>
        <w:instrText xml:space="preserve"> </w:instrText>
      </w:r>
      <w:r>
        <w:rPr>
          <w:sz w:val="24"/>
          <w:szCs w:val="24"/>
          <w:lang/>
        </w:rPr>
        <w:instrText xml:space="preserve">HYPERLINK \l "_Toc24542998"</w:instrText>
      </w:r>
      <w:r>
        <w:rPr>
          <w:rStyle w:val="16"/>
          <w:color w:val="auto"/>
          <w:sz w:val="24"/>
          <w:szCs w:val="24"/>
          <w:u w:val="none"/>
          <w:lang/>
        </w:rPr>
        <w:instrText xml:space="preserve"> </w:instrText>
      </w:r>
      <w:r>
        <w:rPr>
          <w:sz w:val="24"/>
          <w:szCs w:val="24"/>
          <w:lang/>
        </w:rPr>
        <w:fldChar w:fldCharType="separate"/>
      </w:r>
      <w:r>
        <w:rPr>
          <w:rStyle w:val="16"/>
          <w:color w:val="auto"/>
          <w:sz w:val="24"/>
          <w:szCs w:val="24"/>
          <w:u w:val="none"/>
          <w:lang/>
        </w:rPr>
        <w:t xml:space="preserve">7.1 </w:t>
      </w:r>
      <w:r>
        <w:rPr>
          <w:rStyle w:val="16"/>
          <w:rFonts w:hint="eastAsia"/>
          <w:color w:val="auto"/>
          <w:sz w:val="24"/>
          <w:szCs w:val="24"/>
          <w:u w:val="none"/>
          <w:lang/>
        </w:rPr>
        <w:t>控制项</w:t>
      </w:r>
      <w:r>
        <w:rPr>
          <w:sz w:val="24"/>
          <w:szCs w:val="24"/>
          <w:lang/>
        </w:rPr>
        <w:tab/>
      </w:r>
      <w:r>
        <w:rPr>
          <w:sz w:val="24"/>
          <w:szCs w:val="24"/>
          <w:lang/>
        </w:rPr>
        <w:fldChar w:fldCharType="begin"/>
      </w:r>
      <w:r>
        <w:rPr>
          <w:sz w:val="24"/>
          <w:szCs w:val="24"/>
          <w:lang/>
        </w:rPr>
        <w:instrText xml:space="preserve"> PAGEREF _Toc24542998 \h </w:instrText>
      </w:r>
      <w:r>
        <w:rPr>
          <w:sz w:val="24"/>
          <w:szCs w:val="24"/>
          <w:lang/>
        </w:rPr>
        <w:fldChar w:fldCharType="separate"/>
      </w:r>
      <w:r>
        <w:rPr>
          <w:rFonts w:hint="eastAsia"/>
          <w:sz w:val="24"/>
          <w:szCs w:val="24"/>
          <w:lang/>
        </w:rPr>
        <w:t>80</w:t>
      </w:r>
      <w:r>
        <w:rPr>
          <w:sz w:val="24"/>
          <w:szCs w:val="24"/>
          <w:lang/>
        </w:rPr>
        <w:fldChar w:fldCharType="end"/>
      </w:r>
      <w:r>
        <w:rPr>
          <w:sz w:val="24"/>
          <w:szCs w:val="24"/>
          <w:lang/>
        </w:rPr>
        <w:fldChar w:fldCharType="end"/>
      </w:r>
    </w:p>
    <w:p>
      <w:pPr>
        <w:pStyle w:val="9"/>
        <w:tabs>
          <w:tab w:val="right" w:leader="dot" w:pos="9572"/>
        </w:tabs>
        <w:spacing w:line="360" w:lineRule="auto"/>
        <w:rPr>
          <w:sz w:val="24"/>
          <w:szCs w:val="24"/>
          <w:lang/>
        </w:rPr>
      </w:pPr>
      <w:r>
        <w:rPr>
          <w:sz w:val="24"/>
          <w:szCs w:val="24"/>
          <w:lang/>
        </w:rPr>
        <w:fldChar w:fldCharType="begin"/>
      </w:r>
      <w:r>
        <w:rPr>
          <w:rStyle w:val="16"/>
          <w:color w:val="auto"/>
          <w:sz w:val="24"/>
          <w:szCs w:val="24"/>
          <w:u w:val="none"/>
          <w:lang/>
        </w:rPr>
        <w:instrText xml:space="preserve"> </w:instrText>
      </w:r>
      <w:r>
        <w:rPr>
          <w:sz w:val="24"/>
          <w:szCs w:val="24"/>
          <w:lang/>
        </w:rPr>
        <w:instrText xml:space="preserve">HYPERLINK \l "_Toc24542999"</w:instrText>
      </w:r>
      <w:r>
        <w:rPr>
          <w:rStyle w:val="16"/>
          <w:color w:val="auto"/>
          <w:sz w:val="24"/>
          <w:szCs w:val="24"/>
          <w:u w:val="none"/>
          <w:lang/>
        </w:rPr>
        <w:instrText xml:space="preserve"> </w:instrText>
      </w:r>
      <w:r>
        <w:rPr>
          <w:sz w:val="24"/>
          <w:szCs w:val="24"/>
          <w:lang/>
        </w:rPr>
        <w:fldChar w:fldCharType="separate"/>
      </w:r>
      <w:r>
        <w:rPr>
          <w:rStyle w:val="16"/>
          <w:color w:val="auto"/>
          <w:sz w:val="24"/>
          <w:szCs w:val="24"/>
          <w:u w:val="none"/>
          <w:lang/>
        </w:rPr>
        <w:t xml:space="preserve">7.2 </w:t>
      </w:r>
      <w:r>
        <w:rPr>
          <w:rStyle w:val="16"/>
          <w:rFonts w:hint="eastAsia"/>
          <w:color w:val="auto"/>
          <w:sz w:val="24"/>
          <w:szCs w:val="24"/>
          <w:u w:val="none"/>
          <w:lang/>
        </w:rPr>
        <w:t>评分项</w:t>
      </w:r>
      <w:r>
        <w:rPr>
          <w:sz w:val="24"/>
          <w:szCs w:val="24"/>
          <w:lang/>
        </w:rPr>
        <w:tab/>
      </w:r>
      <w:r>
        <w:rPr>
          <w:rFonts w:hint="eastAsia"/>
          <w:sz w:val="24"/>
          <w:szCs w:val="24"/>
          <w:lang/>
        </w:rPr>
        <w:t>84</w:t>
      </w:r>
      <w:r>
        <w:rPr>
          <w:sz w:val="24"/>
          <w:szCs w:val="24"/>
          <w:lang/>
        </w:rPr>
        <w:fldChar w:fldCharType="end"/>
      </w:r>
    </w:p>
    <w:p>
      <w:pPr>
        <w:pStyle w:val="8"/>
        <w:rPr>
          <w:sz w:val="24"/>
          <w:szCs w:val="24"/>
          <w:lang/>
        </w:rPr>
      </w:pPr>
      <w:r>
        <w:rPr>
          <w:sz w:val="24"/>
          <w:szCs w:val="24"/>
          <w:lang/>
        </w:rPr>
        <w:fldChar w:fldCharType="begin"/>
      </w:r>
      <w:r>
        <w:rPr>
          <w:rStyle w:val="16"/>
          <w:color w:val="auto"/>
          <w:sz w:val="24"/>
          <w:szCs w:val="24"/>
          <w:u w:val="none"/>
          <w:lang/>
        </w:rPr>
        <w:instrText xml:space="preserve"> </w:instrText>
      </w:r>
      <w:r>
        <w:rPr>
          <w:sz w:val="24"/>
          <w:szCs w:val="24"/>
          <w:lang/>
        </w:rPr>
        <w:instrText xml:space="preserve">HYPERLINK \l "_Toc24543000"</w:instrText>
      </w:r>
      <w:r>
        <w:rPr>
          <w:rStyle w:val="16"/>
          <w:color w:val="auto"/>
          <w:sz w:val="24"/>
          <w:szCs w:val="24"/>
          <w:u w:val="none"/>
          <w:lang/>
        </w:rPr>
        <w:instrText xml:space="preserve"> </w:instrText>
      </w:r>
      <w:r>
        <w:rPr>
          <w:sz w:val="24"/>
          <w:szCs w:val="24"/>
          <w:lang/>
        </w:rPr>
        <w:fldChar w:fldCharType="separate"/>
      </w:r>
      <w:r>
        <w:rPr>
          <w:rStyle w:val="16"/>
          <w:color w:val="auto"/>
          <w:sz w:val="24"/>
          <w:szCs w:val="24"/>
          <w:u w:val="none"/>
          <w:lang/>
        </w:rPr>
        <w:t xml:space="preserve">8 </w:t>
      </w:r>
      <w:r>
        <w:rPr>
          <w:rStyle w:val="16"/>
          <w:rFonts w:hint="eastAsia"/>
          <w:color w:val="auto"/>
          <w:sz w:val="24"/>
          <w:szCs w:val="24"/>
          <w:u w:val="none"/>
          <w:lang/>
        </w:rPr>
        <w:t>环</w:t>
      </w:r>
      <w:r>
        <w:rPr>
          <w:rStyle w:val="16"/>
          <w:color w:val="auto"/>
          <w:sz w:val="24"/>
          <w:szCs w:val="24"/>
          <w:u w:val="none"/>
          <w:lang/>
        </w:rPr>
        <w:t xml:space="preserve"> </w:t>
      </w:r>
      <w:r>
        <w:rPr>
          <w:rStyle w:val="16"/>
          <w:rFonts w:hint="eastAsia"/>
          <w:color w:val="auto"/>
          <w:sz w:val="24"/>
          <w:szCs w:val="24"/>
          <w:u w:val="none"/>
          <w:lang/>
        </w:rPr>
        <w:t>境</w:t>
      </w:r>
      <w:r>
        <w:rPr>
          <w:rStyle w:val="16"/>
          <w:color w:val="auto"/>
          <w:sz w:val="24"/>
          <w:szCs w:val="24"/>
          <w:u w:val="none"/>
          <w:lang/>
        </w:rPr>
        <w:t xml:space="preserve"> </w:t>
      </w:r>
      <w:r>
        <w:rPr>
          <w:rStyle w:val="16"/>
          <w:rFonts w:hint="eastAsia"/>
          <w:color w:val="auto"/>
          <w:sz w:val="24"/>
          <w:szCs w:val="24"/>
          <w:u w:val="none"/>
          <w:lang/>
        </w:rPr>
        <w:t>宜</w:t>
      </w:r>
      <w:r>
        <w:rPr>
          <w:rStyle w:val="16"/>
          <w:color w:val="auto"/>
          <w:sz w:val="24"/>
          <w:szCs w:val="24"/>
          <w:u w:val="none"/>
          <w:lang/>
        </w:rPr>
        <w:t xml:space="preserve"> </w:t>
      </w:r>
      <w:r>
        <w:rPr>
          <w:rStyle w:val="16"/>
          <w:rFonts w:hint="eastAsia"/>
          <w:color w:val="auto"/>
          <w:sz w:val="24"/>
          <w:szCs w:val="24"/>
          <w:u w:val="none"/>
          <w:lang/>
        </w:rPr>
        <w:t>居</w:t>
      </w:r>
      <w:r>
        <w:rPr>
          <w:sz w:val="24"/>
          <w:szCs w:val="24"/>
          <w:lang/>
        </w:rPr>
        <w:tab/>
      </w:r>
      <w:r>
        <w:rPr>
          <w:rFonts w:hint="eastAsia"/>
          <w:sz w:val="24"/>
          <w:szCs w:val="24"/>
          <w:lang/>
        </w:rPr>
        <w:t>97</w:t>
      </w:r>
      <w:r>
        <w:rPr>
          <w:sz w:val="24"/>
          <w:szCs w:val="24"/>
          <w:lang/>
        </w:rPr>
        <w:fldChar w:fldCharType="end"/>
      </w:r>
    </w:p>
    <w:p>
      <w:pPr>
        <w:pStyle w:val="9"/>
        <w:tabs>
          <w:tab w:val="right" w:leader="dot" w:pos="9572"/>
        </w:tabs>
        <w:spacing w:line="360" w:lineRule="auto"/>
        <w:rPr>
          <w:sz w:val="24"/>
          <w:szCs w:val="24"/>
          <w:lang/>
        </w:rPr>
      </w:pPr>
      <w:r>
        <w:rPr>
          <w:sz w:val="24"/>
          <w:szCs w:val="24"/>
          <w:lang/>
        </w:rPr>
        <w:fldChar w:fldCharType="begin"/>
      </w:r>
      <w:r>
        <w:rPr>
          <w:rStyle w:val="16"/>
          <w:color w:val="auto"/>
          <w:sz w:val="24"/>
          <w:szCs w:val="24"/>
          <w:u w:val="none"/>
          <w:lang/>
        </w:rPr>
        <w:instrText xml:space="preserve"> </w:instrText>
      </w:r>
      <w:r>
        <w:rPr>
          <w:sz w:val="24"/>
          <w:szCs w:val="24"/>
          <w:lang/>
        </w:rPr>
        <w:instrText xml:space="preserve">HYPERLINK \l "_Toc24543001"</w:instrText>
      </w:r>
      <w:r>
        <w:rPr>
          <w:rStyle w:val="16"/>
          <w:color w:val="auto"/>
          <w:sz w:val="24"/>
          <w:szCs w:val="24"/>
          <w:u w:val="none"/>
          <w:lang/>
        </w:rPr>
        <w:instrText xml:space="preserve"> </w:instrText>
      </w:r>
      <w:r>
        <w:rPr>
          <w:sz w:val="24"/>
          <w:szCs w:val="24"/>
          <w:lang/>
        </w:rPr>
        <w:fldChar w:fldCharType="separate"/>
      </w:r>
      <w:r>
        <w:rPr>
          <w:rStyle w:val="16"/>
          <w:color w:val="auto"/>
          <w:sz w:val="24"/>
          <w:szCs w:val="24"/>
          <w:u w:val="none"/>
          <w:lang/>
        </w:rPr>
        <w:t>8.1</w:t>
      </w:r>
      <w:r>
        <w:rPr>
          <w:rStyle w:val="16"/>
          <w:rFonts w:hint="eastAsia"/>
          <w:color w:val="auto"/>
          <w:sz w:val="24"/>
          <w:szCs w:val="24"/>
          <w:u w:val="none"/>
          <w:lang/>
        </w:rPr>
        <w:t>控制项</w:t>
      </w:r>
      <w:r>
        <w:rPr>
          <w:sz w:val="24"/>
          <w:szCs w:val="24"/>
          <w:lang/>
        </w:rPr>
        <w:tab/>
      </w:r>
      <w:r>
        <w:rPr>
          <w:rFonts w:hint="eastAsia"/>
          <w:sz w:val="24"/>
          <w:szCs w:val="24"/>
          <w:lang/>
        </w:rPr>
        <w:t>97</w:t>
      </w:r>
      <w:r>
        <w:rPr>
          <w:sz w:val="24"/>
          <w:szCs w:val="24"/>
          <w:lang/>
        </w:rPr>
        <w:fldChar w:fldCharType="end"/>
      </w:r>
    </w:p>
    <w:p>
      <w:pPr>
        <w:pStyle w:val="9"/>
        <w:tabs>
          <w:tab w:val="right" w:leader="dot" w:pos="9572"/>
        </w:tabs>
        <w:spacing w:line="360" w:lineRule="auto"/>
        <w:rPr>
          <w:sz w:val="24"/>
          <w:szCs w:val="24"/>
          <w:lang/>
        </w:rPr>
      </w:pPr>
      <w:r>
        <w:rPr>
          <w:sz w:val="24"/>
          <w:szCs w:val="24"/>
          <w:lang/>
        </w:rPr>
        <w:fldChar w:fldCharType="begin"/>
      </w:r>
      <w:r>
        <w:rPr>
          <w:rStyle w:val="16"/>
          <w:color w:val="auto"/>
          <w:sz w:val="24"/>
          <w:szCs w:val="24"/>
          <w:u w:val="none"/>
          <w:lang/>
        </w:rPr>
        <w:instrText xml:space="preserve"> </w:instrText>
      </w:r>
      <w:r>
        <w:rPr>
          <w:sz w:val="24"/>
          <w:szCs w:val="24"/>
          <w:lang/>
        </w:rPr>
        <w:instrText xml:space="preserve">HYPERLINK \l "_Toc24543002"</w:instrText>
      </w:r>
      <w:r>
        <w:rPr>
          <w:rStyle w:val="16"/>
          <w:color w:val="auto"/>
          <w:sz w:val="24"/>
          <w:szCs w:val="24"/>
          <w:u w:val="none"/>
          <w:lang/>
        </w:rPr>
        <w:instrText xml:space="preserve"> </w:instrText>
      </w:r>
      <w:r>
        <w:rPr>
          <w:sz w:val="24"/>
          <w:szCs w:val="24"/>
          <w:lang/>
        </w:rPr>
        <w:fldChar w:fldCharType="separate"/>
      </w:r>
      <w:r>
        <w:rPr>
          <w:rStyle w:val="16"/>
          <w:color w:val="auto"/>
          <w:sz w:val="24"/>
          <w:szCs w:val="24"/>
          <w:u w:val="none"/>
          <w:lang/>
        </w:rPr>
        <w:t>8.2</w:t>
      </w:r>
      <w:r>
        <w:rPr>
          <w:rStyle w:val="16"/>
          <w:rFonts w:hint="eastAsia"/>
          <w:color w:val="auto"/>
          <w:sz w:val="24"/>
          <w:szCs w:val="24"/>
          <w:u w:val="none"/>
          <w:lang/>
        </w:rPr>
        <w:t>评分项</w:t>
      </w:r>
      <w:r>
        <w:rPr>
          <w:sz w:val="24"/>
          <w:szCs w:val="24"/>
          <w:lang/>
        </w:rPr>
        <w:tab/>
      </w:r>
      <w:r>
        <w:rPr>
          <w:rFonts w:hint="eastAsia"/>
          <w:sz w:val="24"/>
          <w:szCs w:val="24"/>
          <w:lang/>
        </w:rPr>
        <w:t>100</w:t>
      </w:r>
      <w:r>
        <w:rPr>
          <w:sz w:val="24"/>
          <w:szCs w:val="24"/>
          <w:lang/>
        </w:rPr>
        <w:fldChar w:fldCharType="end"/>
      </w:r>
    </w:p>
    <w:p>
      <w:pPr>
        <w:pStyle w:val="8"/>
        <w:rPr>
          <w:sz w:val="24"/>
          <w:szCs w:val="24"/>
          <w:lang/>
        </w:rPr>
      </w:pPr>
      <w:r>
        <w:rPr>
          <w:sz w:val="24"/>
          <w:szCs w:val="24"/>
          <w:lang/>
        </w:rPr>
        <w:fldChar w:fldCharType="begin"/>
      </w:r>
      <w:r>
        <w:rPr>
          <w:rStyle w:val="16"/>
          <w:color w:val="auto"/>
          <w:sz w:val="24"/>
          <w:szCs w:val="24"/>
          <w:u w:val="none"/>
          <w:lang/>
        </w:rPr>
        <w:instrText xml:space="preserve"> </w:instrText>
      </w:r>
      <w:r>
        <w:rPr>
          <w:sz w:val="24"/>
          <w:szCs w:val="24"/>
          <w:lang/>
        </w:rPr>
        <w:instrText xml:space="preserve">HYPERLINK \l "_Toc24543003"</w:instrText>
      </w:r>
      <w:r>
        <w:rPr>
          <w:rStyle w:val="16"/>
          <w:color w:val="auto"/>
          <w:sz w:val="24"/>
          <w:szCs w:val="24"/>
          <w:u w:val="none"/>
          <w:lang/>
        </w:rPr>
        <w:instrText xml:space="preserve"> </w:instrText>
      </w:r>
      <w:r>
        <w:rPr>
          <w:sz w:val="24"/>
          <w:szCs w:val="24"/>
          <w:lang/>
        </w:rPr>
        <w:fldChar w:fldCharType="separate"/>
      </w:r>
      <w:r>
        <w:rPr>
          <w:rStyle w:val="16"/>
          <w:color w:val="auto"/>
          <w:sz w:val="24"/>
          <w:szCs w:val="24"/>
          <w:u w:val="none"/>
          <w:lang/>
        </w:rPr>
        <w:t xml:space="preserve">9 </w:t>
      </w:r>
      <w:r>
        <w:rPr>
          <w:rStyle w:val="16"/>
          <w:rFonts w:hint="eastAsia"/>
          <w:color w:val="auto"/>
          <w:sz w:val="24"/>
          <w:szCs w:val="24"/>
          <w:u w:val="none"/>
          <w:lang/>
        </w:rPr>
        <w:t>提高与创新</w:t>
      </w:r>
      <w:r>
        <w:rPr>
          <w:sz w:val="24"/>
          <w:szCs w:val="24"/>
          <w:lang/>
        </w:rPr>
        <w:tab/>
      </w:r>
      <w:r>
        <w:rPr>
          <w:rFonts w:hint="eastAsia"/>
          <w:sz w:val="24"/>
          <w:szCs w:val="24"/>
          <w:lang/>
        </w:rPr>
        <w:t>110</w:t>
      </w:r>
      <w:r>
        <w:rPr>
          <w:sz w:val="24"/>
          <w:szCs w:val="24"/>
          <w:lang/>
        </w:rPr>
        <w:fldChar w:fldCharType="end"/>
      </w:r>
    </w:p>
    <w:p>
      <w:pPr>
        <w:pStyle w:val="9"/>
        <w:tabs>
          <w:tab w:val="right" w:leader="dot" w:pos="9572"/>
        </w:tabs>
        <w:spacing w:line="360" w:lineRule="auto"/>
        <w:rPr>
          <w:sz w:val="24"/>
          <w:szCs w:val="24"/>
          <w:lang/>
        </w:rPr>
      </w:pPr>
      <w:r>
        <w:rPr>
          <w:sz w:val="24"/>
          <w:szCs w:val="24"/>
          <w:lang/>
        </w:rPr>
        <w:fldChar w:fldCharType="begin"/>
      </w:r>
      <w:r>
        <w:rPr>
          <w:rStyle w:val="16"/>
          <w:color w:val="auto"/>
          <w:sz w:val="24"/>
          <w:szCs w:val="24"/>
          <w:u w:val="none"/>
          <w:lang/>
        </w:rPr>
        <w:instrText xml:space="preserve"> </w:instrText>
      </w:r>
      <w:r>
        <w:rPr>
          <w:sz w:val="24"/>
          <w:szCs w:val="24"/>
          <w:lang/>
        </w:rPr>
        <w:instrText xml:space="preserve">HYPERLINK \l "_Toc24543004"</w:instrText>
      </w:r>
      <w:r>
        <w:rPr>
          <w:rStyle w:val="16"/>
          <w:color w:val="auto"/>
          <w:sz w:val="24"/>
          <w:szCs w:val="24"/>
          <w:u w:val="none"/>
          <w:lang/>
        </w:rPr>
        <w:instrText xml:space="preserve"> </w:instrText>
      </w:r>
      <w:r>
        <w:rPr>
          <w:sz w:val="24"/>
          <w:szCs w:val="24"/>
          <w:lang/>
        </w:rPr>
        <w:fldChar w:fldCharType="separate"/>
      </w:r>
      <w:r>
        <w:rPr>
          <w:rStyle w:val="16"/>
          <w:color w:val="auto"/>
          <w:sz w:val="24"/>
          <w:szCs w:val="24"/>
          <w:u w:val="none"/>
          <w:lang/>
        </w:rPr>
        <w:t>9.1</w:t>
      </w:r>
      <w:r>
        <w:rPr>
          <w:rStyle w:val="16"/>
          <w:rFonts w:hint="eastAsia"/>
          <w:color w:val="auto"/>
          <w:sz w:val="24"/>
          <w:szCs w:val="24"/>
          <w:u w:val="none"/>
          <w:lang/>
        </w:rPr>
        <w:t>一般规定</w:t>
      </w:r>
      <w:r>
        <w:rPr>
          <w:sz w:val="24"/>
          <w:szCs w:val="24"/>
          <w:lang/>
        </w:rPr>
        <w:tab/>
      </w:r>
      <w:r>
        <w:rPr>
          <w:rFonts w:hint="eastAsia"/>
          <w:sz w:val="24"/>
          <w:szCs w:val="24"/>
          <w:lang/>
        </w:rPr>
        <w:t>110</w:t>
      </w:r>
      <w:r>
        <w:rPr>
          <w:sz w:val="24"/>
          <w:szCs w:val="24"/>
          <w:lang/>
        </w:rPr>
        <w:fldChar w:fldCharType="end"/>
      </w:r>
    </w:p>
    <w:p>
      <w:pPr>
        <w:pStyle w:val="9"/>
        <w:tabs>
          <w:tab w:val="right" w:leader="dot" w:pos="9572"/>
        </w:tabs>
        <w:spacing w:line="360" w:lineRule="auto"/>
        <w:rPr>
          <w:sz w:val="24"/>
          <w:szCs w:val="24"/>
          <w:lang/>
        </w:rPr>
      </w:pPr>
      <w:r>
        <w:rPr>
          <w:sz w:val="24"/>
          <w:szCs w:val="24"/>
          <w:lang/>
        </w:rPr>
        <w:fldChar w:fldCharType="begin"/>
      </w:r>
      <w:r>
        <w:rPr>
          <w:rStyle w:val="16"/>
          <w:color w:val="auto"/>
          <w:sz w:val="24"/>
          <w:szCs w:val="24"/>
          <w:u w:val="none"/>
          <w:lang/>
        </w:rPr>
        <w:instrText xml:space="preserve"> </w:instrText>
      </w:r>
      <w:r>
        <w:rPr>
          <w:sz w:val="24"/>
          <w:szCs w:val="24"/>
          <w:lang/>
        </w:rPr>
        <w:instrText xml:space="preserve">HYPERLINK \l "_Toc24543005"</w:instrText>
      </w:r>
      <w:r>
        <w:rPr>
          <w:rStyle w:val="16"/>
          <w:color w:val="auto"/>
          <w:sz w:val="24"/>
          <w:szCs w:val="24"/>
          <w:u w:val="none"/>
          <w:lang/>
        </w:rPr>
        <w:instrText xml:space="preserve"> </w:instrText>
      </w:r>
      <w:r>
        <w:rPr>
          <w:sz w:val="24"/>
          <w:szCs w:val="24"/>
          <w:lang/>
        </w:rPr>
        <w:fldChar w:fldCharType="separate"/>
      </w:r>
      <w:r>
        <w:rPr>
          <w:rStyle w:val="16"/>
          <w:color w:val="auto"/>
          <w:sz w:val="24"/>
          <w:szCs w:val="24"/>
          <w:u w:val="none"/>
          <w:lang/>
        </w:rPr>
        <w:t>9.2</w:t>
      </w:r>
      <w:r>
        <w:rPr>
          <w:rStyle w:val="16"/>
          <w:rFonts w:hint="eastAsia"/>
          <w:color w:val="auto"/>
          <w:sz w:val="24"/>
          <w:szCs w:val="24"/>
          <w:u w:val="none"/>
          <w:lang/>
        </w:rPr>
        <w:t>加分项</w:t>
      </w:r>
      <w:r>
        <w:rPr>
          <w:sz w:val="24"/>
          <w:szCs w:val="24"/>
          <w:lang/>
        </w:rPr>
        <w:tab/>
      </w:r>
      <w:r>
        <w:rPr>
          <w:rFonts w:hint="eastAsia"/>
          <w:sz w:val="24"/>
          <w:szCs w:val="24"/>
          <w:lang/>
        </w:rPr>
        <w:t>110</w:t>
      </w:r>
      <w:r>
        <w:rPr>
          <w:sz w:val="24"/>
          <w:szCs w:val="24"/>
          <w:lang/>
        </w:rPr>
        <w:fldChar w:fldCharType="end"/>
      </w:r>
    </w:p>
    <w:p>
      <w:pPr>
        <w:pStyle w:val="20"/>
        <w:rPr>
          <w:rFonts w:ascii="Times New Roman" w:hAnsi="Times New Roman"/>
          <w:color w:val="auto"/>
          <w:sz w:val="24"/>
          <w:szCs w:val="24"/>
          <w:lang/>
        </w:rPr>
      </w:pPr>
      <w:r>
        <w:rPr>
          <w:rFonts w:ascii="Times New Roman" w:hAnsi="Times New Roman"/>
          <w:color w:val="auto"/>
          <w:sz w:val="24"/>
          <w:szCs w:val="24"/>
          <w:lang/>
        </w:rPr>
        <w:t xml:space="preserve"> </w:t>
      </w:r>
    </w:p>
    <w:p>
      <w:pPr>
        <w:spacing w:line="360" w:lineRule="auto"/>
        <w:jc w:val="center"/>
        <w:outlineLvl w:val="0"/>
        <w:rPr>
          <w:b/>
          <w:bCs/>
          <w:sz w:val="32"/>
          <w:szCs w:val="32"/>
        </w:rPr>
      </w:pPr>
      <w:r>
        <w:rPr>
          <w:sz w:val="24"/>
        </w:rPr>
        <w:br w:type="page"/>
      </w:r>
      <w:bookmarkStart w:id="127" w:name="_Toc24543009"/>
      <w:r>
        <w:rPr>
          <w:b/>
          <w:bCs/>
          <w:sz w:val="32"/>
          <w:szCs w:val="32"/>
        </w:rPr>
        <w:t>1  总</w:t>
      </w:r>
      <w:r>
        <w:rPr>
          <w:rFonts w:hint="eastAsia"/>
          <w:b/>
          <w:bCs/>
          <w:sz w:val="32"/>
          <w:szCs w:val="32"/>
        </w:rPr>
        <w:t xml:space="preserve">  </w:t>
      </w:r>
      <w:r>
        <w:rPr>
          <w:b/>
          <w:bCs/>
          <w:sz w:val="32"/>
          <w:szCs w:val="32"/>
        </w:rPr>
        <w:t>则</w:t>
      </w:r>
      <w:bookmarkEnd w:id="127"/>
    </w:p>
    <w:p>
      <w:pPr>
        <w:rPr>
          <w:b/>
          <w:bCs/>
          <w:szCs w:val="24"/>
        </w:rPr>
      </w:pPr>
    </w:p>
    <w:p>
      <w:pPr>
        <w:spacing w:line="360" w:lineRule="auto"/>
        <w:rPr>
          <w:rFonts w:hint="eastAsia"/>
          <w:sz w:val="24"/>
          <w:szCs w:val="24"/>
        </w:rPr>
      </w:pPr>
      <w:r>
        <w:rPr>
          <w:b/>
          <w:sz w:val="24"/>
          <w:szCs w:val="24"/>
        </w:rPr>
        <w:t xml:space="preserve">1.0.1  </w:t>
      </w:r>
      <w:r>
        <w:rPr>
          <w:rFonts w:hint="eastAsia"/>
          <w:sz w:val="24"/>
          <w:szCs w:val="24"/>
        </w:rPr>
        <w:t>我国绿色建筑历经 10 余年的发展，已实现从无到有、从少到多、从个别城市到全国范围，从单体到城区、到城市规模化的发展，直辖市、省会城市及计划单列市保障性安居工程已全面强制执行绿色建筑标准。绿色建筑实践工作稳步推进、绿色建筑发展效益明显，从国家到地方、从政府到公众，全社会对绿色建筑的理念、认识和需求逐步提高，绿色建筑蓬勃开展。《住房城乡建设事业“十三五”规划纲要》不仅提出到 2020 年城镇新建建筑中绿色建筑推广比例超过 50% 的目标，还部署了进一步推进绿色建筑发展的重点任务和重大举措。我国首部《绿色建筑评价标准》 GB/T 50378 - 2006 （对应广西地标《广西绿色建筑评价》DB45/T-2009）发布实施至今，期间经历一次修订</w:t>
      </w:r>
      <w:r>
        <w:rPr>
          <w:sz w:val="24"/>
          <w:szCs w:val="24"/>
        </w:rPr>
        <w:t>（</w:t>
      </w:r>
      <w:r>
        <w:rPr>
          <w:rFonts w:hint="eastAsia"/>
          <w:sz w:val="24"/>
          <w:szCs w:val="24"/>
        </w:rPr>
        <w:t xml:space="preserve">《绿色建筑评价标准》 GB/T 50378 </w:t>
      </w:r>
      <w:r>
        <w:rPr>
          <w:sz w:val="24"/>
          <w:szCs w:val="24"/>
        </w:rPr>
        <w:t>–</w:t>
      </w:r>
      <w:r>
        <w:rPr>
          <w:rFonts w:hint="eastAsia"/>
          <w:sz w:val="24"/>
          <w:szCs w:val="24"/>
        </w:rPr>
        <w:t xml:space="preserve"> 2014，以下简称“国标2014 年版”)（对应广西地标《绿色建筑评价标准》DBJ/T45-020-2016，以下简称“本标准2016 年版”）对评估建筑绿色程度、保障绿色建筑质量、规范和引导我国绿色建筑健康发展发挥了重要的作用。</w:t>
      </w:r>
    </w:p>
    <w:p>
      <w:pPr>
        <w:spacing w:line="360" w:lineRule="auto"/>
        <w:rPr>
          <w:rFonts w:hint="eastAsia"/>
          <w:sz w:val="24"/>
          <w:szCs w:val="24"/>
        </w:rPr>
      </w:pPr>
      <w:r>
        <w:rPr>
          <w:rFonts w:hint="eastAsia"/>
          <w:sz w:val="24"/>
          <w:szCs w:val="24"/>
        </w:rPr>
        <w:t>然而，随着我国生态文明建设和建筑科技的快速发展，我国绿色建筑在实施和发展过程中遇到了新的问题、机遇和挑战。建筑科技发展迅速，建筑工业化、海绵城市、建筑信息模型、健康建筑等高新建筑技术和理念不断涌现并投入应用，而这些新领域方向和新技术发展并未在国标 2014 年版和本标准2016年版中充分体现。党的十九大报告指出，中国特色社会主义进入新时代，我国社会主要矛盾已经转化为人民日益增长的美好生活需要和不平衡不充分的发展之间的矛盾；指出增进民生福扯是发展的根本目的，要坚持以人民为中心，坚持在发展中保障和改善民生，不断满足人民日益增长的美好生活需要，使人民获得感、幸福感、安全感更加充实；提出推进绿色发展，建立健全绿色低碳循环发展的经济体系，构建市场导向的绿色技术创新体系，推进资源全面节约和循环利用，实施国家节水行动，降低能耗、物耗，实现生产系统和生活系统循环链接，倡导简约适度、绿色低碳的生活方式，开展创建节约型机关、绿色家庭、绿色学校、绿色社区和绿色出行等行动。</w:t>
      </w:r>
    </w:p>
    <w:p>
      <w:pPr>
        <w:spacing w:line="360" w:lineRule="auto"/>
        <w:ind w:firstLine="480" w:firstLineChars="200"/>
        <w:rPr>
          <w:rFonts w:hint="eastAsia"/>
          <w:sz w:val="24"/>
          <w:szCs w:val="24"/>
        </w:rPr>
      </w:pPr>
      <w:r>
        <w:rPr>
          <w:rFonts w:hint="eastAsia"/>
          <w:sz w:val="24"/>
          <w:szCs w:val="24"/>
        </w:rPr>
        <w:t>为进一步适应新时代绿色建筑实践及评价工作的需要，2018年住建部组织有关单位对国家《绿色建筑评价标准》，根据绿色建筑评价在这些年应用中出现的问题及发展，进行了再次修编。目前《绿色建筑评价标准》GB/T 50378-2019已经正式发布，于2019年8月1日起实施。综合比较，国标2006版和国标2014版国家标准更多考虑的是建筑本身的绿色性能，考虑“以人为本”及“可感知”的技术要求涉及不够，建筑使用者难以感受到绿色建筑在健康、舒适等方面的优势。而新版的国家标准最大的变化是从原本重设计评价，转到综合考虑绿色建筑的设计--施工--验收--运营全过程的控制。从绿色建筑的基本要素出发，重新构建了绿色建筑评价技术指标体系，对建筑的安全耐久、健康舒适、生活便利、资源节约、环境宜居等方面的性能进行综合评价，拓展了绿色建筑内涵，融合了建筑工业化、海绵城市、建筑信息模型、健康建筑等高新建筑技术和理念，提高了绿色建筑性能要求。此外，新标的国家标准还更新了绿色建筑术语、重设了评价的时间节点，增加了绿色建筑“基本级”，以及提出星级评价的特殊要求等。</w:t>
      </w:r>
    </w:p>
    <w:p>
      <w:pPr>
        <w:spacing w:line="360" w:lineRule="auto"/>
        <w:ind w:firstLine="480" w:firstLineChars="200"/>
        <w:rPr>
          <w:rFonts w:hint="eastAsia"/>
          <w:sz w:val="24"/>
          <w:szCs w:val="24"/>
        </w:rPr>
      </w:pPr>
      <w:r>
        <w:rPr>
          <w:rFonts w:hint="eastAsia"/>
          <w:sz w:val="24"/>
          <w:szCs w:val="24"/>
        </w:rPr>
        <w:t>综上，本标准2016年版中的评价方式、评价条文等与国标2019版已不一致，已不能完全适应新时代绿色建筑实践及评价工作的需要。因此，根据广西壮族自治区住房和城乡建设厅的要求，由广西壮族自治区建筑科学研究设计研会同有关单位对本标准 2016年版进行修订。</w:t>
      </w:r>
    </w:p>
    <w:p>
      <w:pPr>
        <w:spacing w:line="360" w:lineRule="auto"/>
        <w:rPr>
          <w:rFonts w:hint="eastAsia"/>
          <w:sz w:val="24"/>
          <w:szCs w:val="24"/>
        </w:rPr>
      </w:pPr>
      <w:r>
        <w:rPr>
          <w:b/>
          <w:sz w:val="24"/>
          <w:szCs w:val="24"/>
        </w:rPr>
        <w:t>1.0.2</w:t>
      </w:r>
      <w:r>
        <w:rPr>
          <w:rFonts w:hint="eastAsia"/>
          <w:b/>
          <w:sz w:val="24"/>
          <w:szCs w:val="24"/>
        </w:rPr>
        <w:t xml:space="preserve">  </w:t>
      </w:r>
      <w:r>
        <w:rPr>
          <w:rFonts w:hint="eastAsia"/>
          <w:sz w:val="24"/>
          <w:szCs w:val="24"/>
        </w:rPr>
        <w:t>本条规定了标准的适用范围，即本标准适用于广西壮族自治区行政规划区范围各类民用建筑绿色性能的评价，包括公共建筑和住宅建筑。</w:t>
      </w:r>
    </w:p>
    <w:p>
      <w:pPr>
        <w:spacing w:line="360" w:lineRule="auto"/>
        <w:rPr>
          <w:rFonts w:hint="eastAsia"/>
          <w:sz w:val="24"/>
          <w:szCs w:val="24"/>
        </w:rPr>
      </w:pPr>
      <w:r>
        <w:rPr>
          <w:b/>
          <w:sz w:val="24"/>
          <w:szCs w:val="24"/>
        </w:rPr>
        <w:t>1.0.3</w:t>
      </w:r>
      <w:r>
        <w:rPr>
          <w:rFonts w:hint="eastAsia"/>
          <w:sz w:val="24"/>
          <w:szCs w:val="24"/>
        </w:rPr>
        <w:t xml:space="preserve">  广西在气候、环境、资源、经济发展水平与民俗文化等方面，与我国其他省份相比，存在较大差异，而因地制宜又是绿色建筑建设的基本原则，因此对广西绿色建筑的评价，也应综合考量建筑所在地域的气候、环境、资源、经济和文化等条件和特点。建筑物从规划设计到施工，再到运行使用及最终的拆除，构成一个全寿命期。本次修订，以“四节一环保”为基本约束，以“以人为本”为核心要求，对建筑的安全耐久、健康舒适、生活便利、资源节约、环境宜居等方面的性能进行综合评价。</w:t>
      </w:r>
    </w:p>
    <w:p>
      <w:pPr>
        <w:spacing w:line="360" w:lineRule="auto"/>
        <w:rPr>
          <w:rFonts w:hint="eastAsia"/>
          <w:sz w:val="24"/>
          <w:szCs w:val="24"/>
        </w:rPr>
      </w:pPr>
      <w:r>
        <w:rPr>
          <w:b/>
          <w:sz w:val="24"/>
          <w:szCs w:val="24"/>
        </w:rPr>
        <w:t>1.0.4</w:t>
      </w:r>
      <w:r>
        <w:rPr>
          <w:rFonts w:hint="eastAsia"/>
          <w:sz w:val="24"/>
          <w:szCs w:val="24"/>
        </w:rPr>
        <w:t xml:space="preserve">  绿色建筑充分利用场地原有的自然要素，能够减少开发建设对场地及周边生态系统的改变。从适应场地条件和气候特征入手，优化建筑布局，有利千创造积极的室外环境。对场地风环境、光环境的组织和利用，可以改善建筑的自然通风和日照条件，提高场地舒适度；对场地热环境的组织，可以降低热岛强度；对场地声环境的组织，可以降低建筑室内外噪声。</w:t>
      </w:r>
    </w:p>
    <w:p>
      <w:pPr>
        <w:spacing w:line="360" w:lineRule="auto"/>
        <w:rPr>
          <w:rFonts w:hint="eastAsia"/>
          <w:sz w:val="24"/>
          <w:szCs w:val="24"/>
        </w:rPr>
      </w:pPr>
      <w:r>
        <w:rPr>
          <w:rFonts w:hint="eastAsia"/>
          <w:b/>
          <w:sz w:val="24"/>
          <w:szCs w:val="24"/>
        </w:rPr>
        <w:t>1.0.5</w:t>
      </w:r>
      <w:r>
        <w:rPr>
          <w:rFonts w:hint="eastAsia"/>
          <w:sz w:val="24"/>
          <w:szCs w:val="24"/>
        </w:rPr>
        <w:t xml:space="preserve"> 绿色建筑规划应适应广西气候类型多样性，广西大部分地区为夏热冬暖，其气候特征为夏长冬短，雨、热资源丰富，且雨热同季；广西北端为夏热冬冷地区，其气候特征为夏季闷热，冬季湿冷，气温日较差小，年降水量大，春末夏初多为阴雨天气。同时应综合考虑基础薄弱、发展快速的经济特点和民族聚居的人文特点。</w:t>
      </w:r>
    </w:p>
    <w:p>
      <w:pPr>
        <w:spacing w:line="360" w:lineRule="auto"/>
        <w:ind w:firstLine="480" w:firstLineChars="200"/>
        <w:rPr>
          <w:rFonts w:hint="eastAsia"/>
          <w:sz w:val="24"/>
          <w:szCs w:val="24"/>
        </w:rPr>
      </w:pPr>
      <w:r>
        <w:rPr>
          <w:rFonts w:hint="eastAsia"/>
          <w:sz w:val="24"/>
          <w:szCs w:val="24"/>
        </w:rPr>
        <w:t>广西地处低纬度，北回归线横贯中部，南濒热带海洋，北接南岭山地，西延云贵高原。按全国地形分类，广西属云贵高原向东南沿海丘陵过度地带，具有周高中低、形似盆地，山地多，平原少的地形特点。在太阳辐射、大气环流和地理环境的共同作用下，形成了热量丰富、雨热同季，降水丰沛、干湿分明，日照适中、冬短夏长，灾害频繁、旱涝突出的气候特征。</w:t>
      </w:r>
    </w:p>
    <w:p>
      <w:pPr>
        <w:spacing w:line="360" w:lineRule="auto"/>
        <w:ind w:firstLine="480" w:firstLineChars="200"/>
        <w:rPr>
          <w:rFonts w:hint="eastAsia"/>
          <w:sz w:val="24"/>
          <w:szCs w:val="24"/>
        </w:rPr>
      </w:pPr>
      <w:r>
        <w:rPr>
          <w:rFonts w:hint="eastAsia"/>
          <w:sz w:val="24"/>
          <w:szCs w:val="24"/>
        </w:rPr>
        <w:t>广西是以壮族为主体的少数民族自治区，也是全国少数民族人口最多的省（区）。各民族的语言、服饰、建筑物、生活习惯、风土人情、喜庆节日、民间艺术、工艺特产等，构成了多姿多彩的民族风情。</w:t>
      </w:r>
    </w:p>
    <w:p>
      <w:pPr>
        <w:spacing w:line="360" w:lineRule="auto"/>
        <w:rPr>
          <w:sz w:val="24"/>
          <w:szCs w:val="24"/>
        </w:rPr>
      </w:pPr>
      <w:r>
        <w:rPr>
          <w:b/>
          <w:sz w:val="24"/>
          <w:szCs w:val="24"/>
        </w:rPr>
        <w:t>1.0.</w:t>
      </w:r>
      <w:r>
        <w:rPr>
          <w:rFonts w:hint="eastAsia"/>
          <w:b/>
          <w:sz w:val="24"/>
          <w:szCs w:val="24"/>
        </w:rPr>
        <w:t>6</w:t>
      </w:r>
      <w:r>
        <w:rPr>
          <w:rFonts w:hint="eastAsia"/>
          <w:sz w:val="24"/>
          <w:szCs w:val="24"/>
        </w:rPr>
        <w:t xml:space="preserve">  符合国家法律法规和有关标准是参与绿色建筑评价的前提条件。本标准重点在于对建筑绿色性能进行评价，并未涵盖通常建筑物所应有的全部功能和性能要求，故参与评价的建筑尚应符合国家现行有关标准的规定。限于篇幅，本条文说明不能逐一列出有关标准，仅列出部分标准，如：现行国家标准《城市居住区规划设计标准》 GB 50180 、 《民用建筑设计统一标准》 GB50352 、《建筑结构可靠性设计统一标准》 GB 50068 、《混凝土结构设计规范》 GB 50010 、《钢结构设计标准》 GB 50017 、《建筑设计防火规范》 GB 50016 、 《建筑抗震设计规范》 GB 50011 、《建筑物防雷设计规范》 GB 50057 、《民用建筑供暖通风与空气调节设计规范》 GB 50736 、 《民用建筑热工设计规范》 GB50176 、《建筑给水排水设计规范》 GB 50015 、《民用建筑隔声设计规范》 GB 50118 、《建筑采光设计标准》 GB 50033 、《建筑照明设计标准》 GB 50034、《民用建筑电气设计规范》 JGJ 16、《广西壮族自治区居住建筑节能设计标准》DBJ45/029、广西壮族自治区《公共建筑节能设计标准》DBJ/T45-042等。</w:t>
      </w:r>
    </w:p>
    <w:p>
      <w:pPr>
        <w:spacing w:line="360" w:lineRule="auto"/>
        <w:outlineLvl w:val="0"/>
        <w:rPr>
          <w:b/>
          <w:bCs/>
          <w:sz w:val="32"/>
          <w:szCs w:val="32"/>
        </w:rPr>
      </w:pPr>
      <w:r>
        <w:rPr>
          <w:b/>
          <w:bCs/>
          <w:sz w:val="32"/>
          <w:szCs w:val="32"/>
        </w:rPr>
        <w:br w:type="page"/>
      </w:r>
    </w:p>
    <w:p>
      <w:pPr>
        <w:spacing w:line="360" w:lineRule="auto"/>
        <w:jc w:val="center"/>
        <w:outlineLvl w:val="0"/>
        <w:rPr>
          <w:b/>
          <w:bCs/>
          <w:sz w:val="32"/>
          <w:szCs w:val="32"/>
        </w:rPr>
      </w:pPr>
      <w:bookmarkStart w:id="128" w:name="_Toc24543010"/>
      <w:r>
        <w:rPr>
          <w:b/>
          <w:bCs/>
          <w:sz w:val="32"/>
          <w:szCs w:val="32"/>
        </w:rPr>
        <w:t>3  基</w:t>
      </w:r>
      <w:r>
        <w:rPr>
          <w:rFonts w:hint="eastAsia"/>
          <w:b/>
          <w:bCs/>
          <w:sz w:val="32"/>
          <w:szCs w:val="32"/>
        </w:rPr>
        <w:t xml:space="preserve"> </w:t>
      </w:r>
      <w:r>
        <w:rPr>
          <w:b/>
          <w:bCs/>
          <w:sz w:val="32"/>
          <w:szCs w:val="32"/>
        </w:rPr>
        <w:t>本</w:t>
      </w:r>
      <w:r>
        <w:rPr>
          <w:rFonts w:hint="eastAsia"/>
          <w:b/>
          <w:bCs/>
          <w:sz w:val="32"/>
          <w:szCs w:val="32"/>
        </w:rPr>
        <w:t xml:space="preserve"> </w:t>
      </w:r>
      <w:r>
        <w:rPr>
          <w:b/>
          <w:bCs/>
          <w:sz w:val="32"/>
          <w:szCs w:val="32"/>
        </w:rPr>
        <w:t>规</w:t>
      </w:r>
      <w:r>
        <w:rPr>
          <w:rFonts w:hint="eastAsia"/>
          <w:b/>
          <w:bCs/>
          <w:sz w:val="32"/>
          <w:szCs w:val="32"/>
        </w:rPr>
        <w:t xml:space="preserve"> </w:t>
      </w:r>
      <w:r>
        <w:rPr>
          <w:b/>
          <w:bCs/>
          <w:sz w:val="32"/>
          <w:szCs w:val="32"/>
        </w:rPr>
        <w:t>定</w:t>
      </w:r>
      <w:bookmarkEnd w:id="128"/>
    </w:p>
    <w:p>
      <w:pPr>
        <w:spacing w:line="360" w:lineRule="auto"/>
        <w:ind w:firstLine="422"/>
        <w:jc w:val="center"/>
        <w:rPr>
          <w:b/>
          <w:bCs/>
          <w:sz w:val="24"/>
          <w:szCs w:val="24"/>
        </w:rPr>
      </w:pPr>
    </w:p>
    <w:p>
      <w:pPr>
        <w:pStyle w:val="18"/>
        <w:spacing w:beforeLines="0" w:line="360" w:lineRule="auto"/>
        <w:ind w:firstLine="0" w:firstLineChars="0"/>
      </w:pPr>
      <w:bookmarkStart w:id="129" w:name="_Toc24543011"/>
      <w:r>
        <w:t>3.1  一般规定</w:t>
      </w:r>
      <w:bookmarkEnd w:id="129"/>
    </w:p>
    <w:p>
      <w:pPr>
        <w:spacing w:line="360" w:lineRule="auto"/>
        <w:ind w:firstLine="422"/>
        <w:rPr>
          <w:b/>
          <w:bCs/>
          <w:sz w:val="24"/>
          <w:szCs w:val="24"/>
        </w:rPr>
      </w:pPr>
    </w:p>
    <w:p>
      <w:pPr>
        <w:spacing w:line="360" w:lineRule="auto"/>
        <w:rPr>
          <w:sz w:val="24"/>
          <w:szCs w:val="24"/>
        </w:rPr>
      </w:pPr>
      <w:r>
        <w:rPr>
          <w:b/>
          <w:sz w:val="24"/>
          <w:szCs w:val="24"/>
        </w:rPr>
        <w:t xml:space="preserve">3.1.1 </w:t>
      </w:r>
      <w:r>
        <w:rPr>
          <w:rFonts w:hint="eastAsia"/>
          <w:sz w:val="24"/>
          <w:szCs w:val="24"/>
        </w:rPr>
        <w:t xml:space="preserve"> 建筑和建筑群的规划建设应符合法定详细规划，并应满足绿色生态城市发展规划、绿色建筑建设规划、海绵城市建设规划等相关专项规划提出的绿色发展控制要求，深化、细化技术措施。</w:t>
      </w:r>
    </w:p>
    <w:p>
      <w:pPr>
        <w:widowControl/>
        <w:spacing w:line="360" w:lineRule="auto"/>
        <w:ind w:firstLine="480" w:firstLineChars="200"/>
        <w:rPr>
          <w:rFonts w:hint="eastAsia"/>
          <w:sz w:val="24"/>
          <w:szCs w:val="24"/>
        </w:rPr>
      </w:pPr>
      <w:r>
        <w:rPr>
          <w:rFonts w:hint="eastAsia"/>
          <w:sz w:val="24"/>
          <w:szCs w:val="24"/>
        </w:rPr>
        <w:t>建筑单体和建筑群均可以参评绿色建筑，临时建筑不得参评。单栋建筑应为完整的建筑，不得从中剔除部分区域。</w:t>
      </w:r>
    </w:p>
    <w:p>
      <w:pPr>
        <w:widowControl/>
        <w:spacing w:line="360" w:lineRule="auto"/>
        <w:ind w:firstLine="480" w:firstLineChars="200"/>
        <w:rPr>
          <w:rFonts w:hint="eastAsia"/>
          <w:sz w:val="24"/>
          <w:szCs w:val="24"/>
        </w:rPr>
      </w:pPr>
      <w:r>
        <w:rPr>
          <w:rFonts w:hint="eastAsia"/>
          <w:sz w:val="24"/>
          <w:szCs w:val="24"/>
        </w:rPr>
        <w:t>绿色建筑的评价，首先应基于评价对象的性能要求。当需要对某工程项目中的单栋建筑或建筑群进行评价时，由于有些评价指标是针对该工程项目设定的，或该工程项目中其他建筑也采用了相同的技术方案，难以仅基于该单栋建筑进行评价，此时，应以该栋建筑所属工程项目的总体为基准进行评价。也就是说，评价内容涉及工程建设项目总体要求时（如容积率、绿地率、年径流总量控制率等控制指标），应依据该项目的整体控制指标，即所在地城乡规划行政主管部门核发的工程建设规划许可证及其设计条件提出的控制要求，进行评价。</w:t>
      </w:r>
    </w:p>
    <w:p>
      <w:pPr>
        <w:widowControl/>
        <w:spacing w:line="360" w:lineRule="auto"/>
        <w:ind w:firstLine="480" w:firstLineChars="200"/>
        <w:rPr>
          <w:rFonts w:hint="eastAsia"/>
          <w:sz w:val="24"/>
          <w:szCs w:val="24"/>
        </w:rPr>
      </w:pPr>
      <w:r>
        <w:rPr>
          <w:rFonts w:hint="eastAsia"/>
          <w:sz w:val="24"/>
          <w:szCs w:val="24"/>
        </w:rPr>
        <w:t>建筑群是指位置毗邻、功能相同、权属相同、技术体系相同（相近）的两个及以上单体建筑组成的群体。常见的建筑群有住宅建筑群、办公建筑群。当对建筑群进行评价时，可先用本标准评分项和加分项对各单体建筑进行评价，得到各单体建筑的总得分，再按各单体建筑的建筑面积进行加权计算得到建筑群的总得分，最后按建筑群的总得分确定建筑群的绿色建筑等级。</w:t>
      </w:r>
    </w:p>
    <w:p>
      <w:pPr>
        <w:widowControl/>
        <w:spacing w:line="360" w:lineRule="auto"/>
        <w:ind w:firstLine="480" w:firstLineChars="200"/>
        <w:rPr>
          <w:rFonts w:hint="eastAsia"/>
          <w:sz w:val="24"/>
          <w:szCs w:val="24"/>
        </w:rPr>
      </w:pPr>
      <w:r>
        <w:rPr>
          <w:rFonts w:hint="eastAsia"/>
          <w:sz w:val="24"/>
          <w:szCs w:val="24"/>
        </w:rPr>
        <w:t>无论评价对象为单栋建筑还是建筑群，计算系统性、整体性指标时，边界应选取合理、口径一致，一般以城市道路完整围合的最小用地面积为宜。如最小规模的城市居住区即城市道路围合的居住街坊（现行国家标准《城市居住区规划设计标准》 GB50180 规定的居住街坊规模），或城市道路围合、由公共建筑群构成的城市街坊。</w:t>
      </w:r>
    </w:p>
    <w:p>
      <w:pPr>
        <w:widowControl/>
        <w:spacing w:line="360" w:lineRule="auto"/>
        <w:ind w:firstLine="480" w:firstLineChars="200"/>
        <w:rPr>
          <w:sz w:val="24"/>
          <w:szCs w:val="24"/>
        </w:rPr>
      </w:pPr>
      <w:r>
        <w:rPr>
          <w:rFonts w:hint="eastAsia"/>
          <w:sz w:val="24"/>
          <w:szCs w:val="24"/>
        </w:rPr>
        <w:t>对于建筑未交付使用时，应坚持本条原则，不对一栋建筑中的部分区域开展绿色建筑评价。但建筑运行阶段，可能会存在两个或两个以上业主的多功能综合性建筑，此情况下可灵活处理，首先仍应考虑“以一栋完整的建筑为基本对象”的原则，鼓励其业主联合申请绿色建筑评价；如所有业主无法联合申请，但有业主有意愿单独申请时，可对建筑中的部分区域进行评价，但申请评价的区域，建筑面积应不少于2万m</w:t>
      </w:r>
      <w:r>
        <w:rPr>
          <w:rFonts w:hint="eastAsia"/>
          <w:sz w:val="24"/>
          <w:szCs w:val="24"/>
          <w:vertAlign w:val="superscript"/>
        </w:rPr>
        <w:t>2</w:t>
      </w:r>
      <w:r>
        <w:rPr>
          <w:rFonts w:hint="eastAsia"/>
          <w:sz w:val="24"/>
          <w:szCs w:val="24"/>
        </w:rPr>
        <w:t>且有相对独立的暖通空调、给水排水等设备系统，此区域的电、气、热、水耗也能独立计量，还应明确物业产权和运行管理涵盖的区域，涉及的系统性、整体性指标，还应按照本条的规定执行。</w:t>
      </w:r>
    </w:p>
    <w:p>
      <w:pPr>
        <w:spacing w:line="360" w:lineRule="auto"/>
        <w:rPr>
          <w:sz w:val="24"/>
          <w:szCs w:val="24"/>
        </w:rPr>
      </w:pPr>
      <w:r>
        <w:rPr>
          <w:b/>
          <w:sz w:val="24"/>
          <w:szCs w:val="24"/>
        </w:rPr>
        <w:t>3.1.2</w:t>
      </w:r>
      <w:r>
        <w:rPr>
          <w:rFonts w:hint="eastAsia"/>
          <w:b/>
          <w:sz w:val="24"/>
          <w:szCs w:val="24"/>
        </w:rPr>
        <w:t xml:space="preserve"> </w:t>
      </w:r>
      <w:r>
        <w:rPr>
          <w:rFonts w:hint="eastAsia"/>
          <w:sz w:val="24"/>
          <w:szCs w:val="24"/>
        </w:rPr>
        <w:t xml:space="preserve"> 本次修订对绿色建筑评价阶段进行了重新要求。</w:t>
      </w:r>
    </w:p>
    <w:p>
      <w:pPr>
        <w:widowControl/>
        <w:spacing w:line="360" w:lineRule="auto"/>
        <w:ind w:firstLine="480" w:firstLineChars="200"/>
        <w:rPr>
          <w:rFonts w:hint="eastAsia"/>
          <w:sz w:val="24"/>
          <w:szCs w:val="24"/>
        </w:rPr>
      </w:pPr>
      <w:r>
        <w:rPr>
          <w:rFonts w:hint="eastAsia"/>
          <w:sz w:val="24"/>
          <w:szCs w:val="24"/>
        </w:rPr>
        <w:t>住房城乡建设部《住房城乡建设事业“十三五”规划纲要》、《建筑节能与绿色建筑发展“十三五”规划》等国家政策明确提出全面推进绿色建筑发展，广西在2013年印发了《广西壮族自治区绿色建筑行动实施方案》，明确了绿色建筑发展目标、基本原则、重点任务以及保障措施等，2016年颁布《广西壮族自治区民用建筑节能条例》（以下简称节能条例），于2017年1月1日起实施，提出“城市规划区内新建民用建筑应当按照绿色建筑标准进行建设”，将绿色建筑提升到法律层面。目前广西已全面执行绿色建筑施工图设计文件审查，保障性安居工程、政府投资的公益性建筑、大型公共建筑已经开始全面执行绿色建筑标准，积极鼓励其他民用建筑按照绿色建筑标准进行建设。国家和地方的多项强有力举措使广西绿色建筑呈现跨越式发展，绿色建筑由推荐性、引领性、示范性向强制性方向转变。据统计，截止到2018年底，广西绿色建筑星级评价标识评审的项目共290个，总绿色建筑面积超过3800万m</w:t>
      </w:r>
      <w:r>
        <w:rPr>
          <w:rFonts w:hint="eastAsia"/>
          <w:sz w:val="24"/>
          <w:szCs w:val="24"/>
          <w:vertAlign w:val="superscript"/>
        </w:rPr>
        <w:t>2</w:t>
      </w:r>
      <w:r>
        <w:rPr>
          <w:rFonts w:hint="eastAsia"/>
          <w:sz w:val="24"/>
          <w:szCs w:val="24"/>
        </w:rPr>
        <w:t>，但其中仅有14个项目获得运营标识，占标识项目总量的比例仅为4.8%左右。</w:t>
      </w:r>
    </w:p>
    <w:p>
      <w:pPr>
        <w:widowControl/>
        <w:spacing w:line="360" w:lineRule="auto"/>
        <w:ind w:firstLine="480" w:firstLineChars="200"/>
        <w:rPr>
          <w:sz w:val="24"/>
          <w:szCs w:val="24"/>
        </w:rPr>
      </w:pPr>
      <w:r>
        <w:rPr>
          <w:rFonts w:hint="eastAsia"/>
          <w:sz w:val="24"/>
          <w:szCs w:val="24"/>
        </w:rPr>
        <w:t>绿色建筑未来必然向注重运行实效方向发展。绿色建筑发展历经 10 余年，绿色建筑发展需要解决从高速发展到高质量发展的诉求，关键途径之一则是重新定位绿色建筑的评价阶段。通过征询绿色建筑评价单位、技术咨询单位、建筑设计单位、科研机构、地方管理部门等单位专家意见，本次修订决定将绿色建筑评价定位在建筑物建成后的性能，也就是说将绿色建筑的性能评价放在建设工程竣工后，这么做能够更加有效约束绿色建筑技术落地，保证绿色建筑性能的实现。本条提出“在建筑工程施工图设计完成后，可进行预评价”，主要是出于两个方面的考虑：一方面，预评价能够更早地掌握建筑工程可能实现的绿色性能，可以及时优化或调整建筑方案或技术措施，为建成后的运行管理做准备；另一方面是作为设计评价的过渡，与各地现行的设计标识评价制度相衔接。</w:t>
      </w:r>
    </w:p>
    <w:p>
      <w:pPr>
        <w:spacing w:line="360" w:lineRule="auto"/>
        <w:rPr>
          <w:sz w:val="24"/>
          <w:szCs w:val="24"/>
        </w:rPr>
      </w:pPr>
      <w:r>
        <w:rPr>
          <w:b/>
          <w:sz w:val="24"/>
          <w:szCs w:val="24"/>
        </w:rPr>
        <w:t xml:space="preserve">3.1.3 </w:t>
      </w:r>
      <w:r>
        <w:rPr>
          <w:rFonts w:hint="eastAsia"/>
          <w:b/>
          <w:sz w:val="24"/>
          <w:szCs w:val="24"/>
        </w:rPr>
        <w:t xml:space="preserve"> </w:t>
      </w:r>
      <w:r>
        <w:rPr>
          <w:rFonts w:hint="eastAsia"/>
          <w:sz w:val="24"/>
          <w:szCs w:val="24"/>
        </w:rPr>
        <w:t>本条对申请评价方的相关工作提出要求。申请评价方依据有关管理制度文件确定。绿色建筑注重全寿命期内资源节约与环境保护的性能，申请评价方应对建筑全寿命期内各个阶段进行控制，优化建筑技术、设备和材料选用，综合评估建筑规模、建筑技术与投资之间的总体平衡，并按本标准的要求提交相应分析、测试报告和相关文件，涉及计算和测试的结果，应明确计算方法和测试方法。申请评价方对所提交资料的真实性和完整性负责。</w:t>
      </w:r>
    </w:p>
    <w:p>
      <w:pPr>
        <w:spacing w:line="360" w:lineRule="auto"/>
        <w:rPr>
          <w:sz w:val="24"/>
          <w:szCs w:val="24"/>
        </w:rPr>
      </w:pPr>
      <w:r>
        <w:rPr>
          <w:b/>
          <w:sz w:val="24"/>
          <w:szCs w:val="24"/>
        </w:rPr>
        <w:t xml:space="preserve">3.1.4 </w:t>
      </w:r>
      <w:r>
        <w:rPr>
          <w:rFonts w:hint="eastAsia"/>
          <w:sz w:val="24"/>
          <w:szCs w:val="24"/>
        </w:rPr>
        <w:t xml:space="preserve"> 本条对绿色建筑评价机构的相关工作提出要求。绿色建筑评价机构依据有关管理制度文件确定。绿色建筑评价机构应按照本标准的有关要求审查申请评价方提交的报告、文档，并在评价报告中确定等级。</w:t>
      </w:r>
    </w:p>
    <w:p>
      <w:pPr>
        <w:spacing w:line="360" w:lineRule="auto"/>
        <w:rPr>
          <w:rFonts w:hint="eastAsia"/>
          <w:bCs/>
          <w:sz w:val="24"/>
          <w:szCs w:val="24"/>
        </w:rPr>
      </w:pPr>
      <w:r>
        <w:rPr>
          <w:b/>
          <w:sz w:val="24"/>
          <w:szCs w:val="24"/>
        </w:rPr>
        <w:t>3.1.5</w:t>
      </w:r>
      <w:r>
        <w:rPr>
          <w:sz w:val="24"/>
          <w:szCs w:val="24"/>
        </w:rPr>
        <w:t xml:space="preserve"> </w:t>
      </w:r>
      <w:r>
        <w:rPr>
          <w:rFonts w:hint="eastAsia"/>
          <w:sz w:val="24"/>
          <w:szCs w:val="24"/>
        </w:rPr>
        <w:t xml:space="preserve"> </w:t>
      </w:r>
      <w:r>
        <w:rPr>
          <w:rFonts w:hint="eastAsia"/>
          <w:bCs/>
          <w:sz w:val="24"/>
          <w:szCs w:val="24"/>
        </w:rPr>
        <w:t>本条对申请绿色金融服务的建筑项目提出了要求。2016年8月31日，中国人民银行、财政部、国家发展改革委、环境保护部、银监会、证监会、保监会印发《关于构建绿色金融体系的指导意见》，指出绿色金融是指为支持环境改善、应对气候变化和资源节约高效利用的经济活动，即对环保、节能、清洁能源、绿色交通、绿色建筑等领域的项目投融资、项目运营、风险管理等所提供的金融服务。绿色金融服务包括绿色信贷、绿色债券、绿色股票指数和相关产品、绿色发展基金、绿色保险、碳金融等。对于申请绿色金融服务的建筑项目，应按照相关要求，对建筑的能耗和节能措施、碳排放、节水措施等进行计算和说明并形成专项报告。若绿色金融相关管理文件中无特殊规定，建筑能耗按本标准第7.2.8条的相关方法计算，节能措施说明包括用能设备能效、可再生能源利用、重要节能技术等；碳排放按本标准第9.2.7条的相关方法计算；建筑节水措施说明包括节水器具使用情况、用水计量情况等。</w:t>
      </w:r>
    </w:p>
    <w:p>
      <w:pPr>
        <w:widowControl/>
        <w:spacing w:line="360" w:lineRule="auto"/>
        <w:ind w:firstLine="480" w:firstLineChars="200"/>
        <w:rPr>
          <w:bCs/>
          <w:sz w:val="24"/>
          <w:szCs w:val="24"/>
        </w:rPr>
      </w:pPr>
    </w:p>
    <w:p>
      <w:pPr>
        <w:pStyle w:val="18"/>
        <w:spacing w:beforeLines="0" w:line="360" w:lineRule="auto"/>
        <w:ind w:firstLine="0" w:firstLineChars="0"/>
      </w:pPr>
      <w:bookmarkStart w:id="130" w:name="_Toc24543012"/>
      <w:r>
        <w:t>3.2  评价与等级划分</w:t>
      </w:r>
      <w:bookmarkEnd w:id="130"/>
    </w:p>
    <w:p>
      <w:pPr>
        <w:widowControl/>
        <w:spacing w:line="360" w:lineRule="auto"/>
        <w:ind w:firstLine="482" w:firstLineChars="200"/>
        <w:rPr>
          <w:b/>
          <w:bCs/>
          <w:sz w:val="24"/>
          <w:szCs w:val="24"/>
        </w:rPr>
      </w:pPr>
    </w:p>
    <w:p>
      <w:pPr>
        <w:spacing w:line="360" w:lineRule="auto"/>
        <w:rPr>
          <w:rFonts w:hint="eastAsia"/>
          <w:bCs/>
          <w:sz w:val="24"/>
          <w:szCs w:val="24"/>
        </w:rPr>
      </w:pPr>
      <w:r>
        <w:rPr>
          <w:b/>
          <w:sz w:val="24"/>
          <w:szCs w:val="24"/>
        </w:rPr>
        <w:t>3.2.1</w:t>
      </w:r>
      <w:r>
        <w:rPr>
          <w:rFonts w:hint="eastAsia"/>
          <w:sz w:val="24"/>
          <w:szCs w:val="24"/>
        </w:rPr>
        <w:t xml:space="preserve">  </w:t>
      </w:r>
      <w:r>
        <w:rPr>
          <w:rFonts w:hint="eastAsia"/>
          <w:bCs/>
          <w:sz w:val="24"/>
          <w:szCs w:val="24"/>
        </w:rPr>
        <w:t>此次修订，以“四节一环保”为基本约束，遵循以人民为中心的发展理念，构建了新的绿色建筑评价指标体系，将绿色建筑的评价指标体系调整为安全耐久、健康舒适、生活便利、资源节约、环境宜居 5 类指标，升级本标准2016年版的指标体系，重新构建了绿色建筑的评价指标体系。其优点体现在：（1）符合目前国家新时代鼓励创新的发展方向；（2）指标体系名称易懂、易理解和易接受；（3）指标名称体现了新时代所关心的问题，能够提高人们对绿色建筑的可感知性。</w:t>
      </w:r>
    </w:p>
    <w:p>
      <w:pPr>
        <w:widowControl/>
        <w:spacing w:line="360" w:lineRule="auto"/>
        <w:ind w:firstLine="480" w:firstLineChars="200"/>
        <w:rPr>
          <w:bCs/>
          <w:sz w:val="24"/>
          <w:szCs w:val="24"/>
        </w:rPr>
      </w:pPr>
      <w:r>
        <w:rPr>
          <w:rFonts w:hint="eastAsia"/>
          <w:bCs/>
          <w:sz w:val="24"/>
          <w:szCs w:val="24"/>
        </w:rPr>
        <w:t>每类指标均包括控制项和评分项。为了鼓励绿色建筑采用提高、创新的建筑技术和产品建造更高性能的绿色建筑，评价指标体系还统一设置“提高与创新”加分项。</w:t>
      </w:r>
    </w:p>
    <w:p>
      <w:pPr>
        <w:spacing w:line="360" w:lineRule="auto"/>
        <w:rPr>
          <w:rFonts w:hint="eastAsia"/>
          <w:bCs/>
          <w:sz w:val="24"/>
          <w:szCs w:val="24"/>
        </w:rPr>
      </w:pPr>
      <w:r>
        <w:rPr>
          <w:b/>
          <w:sz w:val="24"/>
          <w:szCs w:val="24"/>
        </w:rPr>
        <w:t>3.2.2</w:t>
      </w:r>
      <w:r>
        <w:rPr>
          <w:rFonts w:hint="eastAsia"/>
          <w:sz w:val="24"/>
          <w:szCs w:val="24"/>
        </w:rPr>
        <w:t xml:space="preserve">  </w:t>
      </w:r>
      <w:r>
        <w:rPr>
          <w:rFonts w:hint="eastAsia"/>
          <w:bCs/>
          <w:sz w:val="24"/>
          <w:szCs w:val="24"/>
        </w:rPr>
        <w:t>控制项的评价同本标准2016年版。评分项的评价，依据评价条文的规定确定得分或不得分，得分时根据需要对具体评分子项确定得分值，或根据具体达标程度确定得分值。加分项的评价，依据评价条文的规定确定得分或不得分。</w:t>
      </w:r>
    </w:p>
    <w:p>
      <w:pPr>
        <w:widowControl/>
        <w:spacing w:line="360" w:lineRule="auto"/>
        <w:ind w:firstLine="480" w:firstLineChars="200"/>
        <w:rPr>
          <w:rFonts w:hint="eastAsia"/>
          <w:bCs/>
          <w:sz w:val="24"/>
          <w:szCs w:val="24"/>
        </w:rPr>
      </w:pPr>
      <w:r>
        <w:rPr>
          <w:rFonts w:hint="eastAsia"/>
          <w:bCs/>
          <w:sz w:val="24"/>
          <w:szCs w:val="24"/>
        </w:rPr>
        <w:t>本标准中评分项的赋分有以下几种方式：</w:t>
      </w:r>
    </w:p>
    <w:p>
      <w:pPr>
        <w:widowControl/>
        <w:spacing w:line="360" w:lineRule="auto"/>
        <w:ind w:firstLine="480" w:firstLineChars="200"/>
        <w:rPr>
          <w:rFonts w:hint="eastAsia"/>
        </w:rPr>
      </w:pPr>
      <w:r>
        <w:rPr>
          <w:rFonts w:hint="eastAsia"/>
          <w:bCs/>
          <w:sz w:val="24"/>
          <w:szCs w:val="24"/>
        </w:rPr>
        <w:t>1、一条条文评判一类性能或技术指标，且不需要根据达标情况不同赋以不同分值时，赋以一个固定分值，该评分项的得分为 0 分或固定分值，在条文主干部分表述为“评价分值为某分”；</w:t>
      </w:r>
    </w:p>
    <w:p>
      <w:pPr>
        <w:widowControl/>
        <w:spacing w:line="360" w:lineRule="auto"/>
        <w:ind w:firstLine="480" w:firstLineChars="200"/>
        <w:rPr>
          <w:rFonts w:hint="eastAsia"/>
          <w:bCs/>
          <w:sz w:val="24"/>
          <w:szCs w:val="24"/>
        </w:rPr>
      </w:pPr>
      <w:r>
        <w:rPr>
          <w:rFonts w:hint="eastAsia"/>
          <w:bCs/>
          <w:sz w:val="24"/>
          <w:szCs w:val="24"/>
        </w:rPr>
        <w:t>2、一条条文评判一类性能或技术指标，需要根据达标情况不同赋以不同分值时，在条文主干部分表述为“评价总分值为某分”，同时将不同得分值表述为“得某分”的形式，且从低分到高分排列；递进的档次特别多或者评分特别复杂的，则采用列表的形式表达，在条文主干部分表述为“按某表的规则评分”；</w:t>
      </w:r>
    </w:p>
    <w:p>
      <w:pPr>
        <w:widowControl/>
        <w:spacing w:line="360" w:lineRule="auto"/>
        <w:ind w:firstLine="480" w:firstLineChars="200"/>
        <w:rPr>
          <w:rFonts w:hint="eastAsia"/>
          <w:bCs/>
          <w:sz w:val="24"/>
          <w:szCs w:val="24"/>
        </w:rPr>
      </w:pPr>
      <w:r>
        <w:rPr>
          <w:rFonts w:hint="eastAsia"/>
          <w:bCs/>
          <w:sz w:val="24"/>
          <w:szCs w:val="24"/>
        </w:rPr>
        <w:t>3、一条条文评判一类性能或技术指标，但需要针对不同建筑类型或特点分别评判时，针对各种类型或特点按款或项分别评判时，针对各种类型或特点按款或项分别赋以分值，各款或项得分均等于该条得分，在条文主干部分表述为“按下列规则评分”；</w:t>
      </w:r>
    </w:p>
    <w:p>
      <w:pPr>
        <w:widowControl/>
        <w:spacing w:line="360" w:lineRule="auto"/>
        <w:ind w:firstLine="480" w:firstLineChars="200"/>
        <w:rPr>
          <w:rFonts w:hint="eastAsia"/>
          <w:bCs/>
          <w:sz w:val="24"/>
          <w:szCs w:val="24"/>
        </w:rPr>
      </w:pPr>
      <w:r>
        <w:rPr>
          <w:rFonts w:hint="eastAsia"/>
          <w:bCs/>
          <w:sz w:val="24"/>
          <w:szCs w:val="24"/>
        </w:rPr>
        <w:t>4、一条条文评判多个技术指标，将多个技术指标的评判以款或项的形式表达，并按款或项赋以分值，该条得分为各款或项得分之和，在条文主干部分表述为“按下列规则分别评分并累计”；</w:t>
      </w:r>
    </w:p>
    <w:p>
      <w:pPr>
        <w:widowControl/>
        <w:spacing w:line="360" w:lineRule="auto"/>
        <w:ind w:firstLine="480" w:firstLineChars="200"/>
        <w:rPr>
          <w:rFonts w:hint="eastAsia"/>
          <w:bCs/>
          <w:sz w:val="24"/>
          <w:szCs w:val="24"/>
        </w:rPr>
      </w:pPr>
      <w:r>
        <w:rPr>
          <w:rFonts w:hint="eastAsia"/>
          <w:bCs/>
          <w:sz w:val="24"/>
          <w:szCs w:val="24"/>
        </w:rPr>
        <w:t>5、一条条文评判多个技术指标，其中某技术指标需要根据达标情况不同赋以不同分值时，首先按多个技术指标的评判以款或项的形式表达并按款或项赋以分值，然后考虑达标程度不同对其中部分技术指标采用递进赋分方式。</w:t>
      </w:r>
    </w:p>
    <w:p>
      <w:pPr>
        <w:widowControl/>
        <w:spacing w:line="360" w:lineRule="auto"/>
        <w:ind w:firstLine="480" w:firstLineChars="200"/>
        <w:rPr>
          <w:rFonts w:hint="eastAsia"/>
          <w:bCs/>
          <w:sz w:val="24"/>
          <w:szCs w:val="24"/>
        </w:rPr>
      </w:pPr>
      <w:r>
        <w:rPr>
          <w:rFonts w:hint="eastAsia"/>
          <w:bCs/>
          <w:sz w:val="24"/>
          <w:szCs w:val="24"/>
        </w:rPr>
        <w:t>可能还会有少数条文出现其他评分方式组合。</w:t>
      </w:r>
    </w:p>
    <w:p>
      <w:pPr>
        <w:widowControl/>
        <w:spacing w:line="360" w:lineRule="auto"/>
        <w:ind w:firstLine="480" w:firstLineChars="200"/>
        <w:rPr>
          <w:bCs/>
          <w:sz w:val="24"/>
          <w:szCs w:val="24"/>
        </w:rPr>
      </w:pPr>
      <w:r>
        <w:rPr>
          <w:rFonts w:hint="eastAsia"/>
          <w:bCs/>
          <w:sz w:val="24"/>
          <w:szCs w:val="24"/>
        </w:rPr>
        <w:t>本标准中评分项和加分项条文主干部分给出了该条文的“评价分值”或“评价总分值”，是该条可能得到的最高分值。</w:t>
      </w:r>
    </w:p>
    <w:p>
      <w:pPr>
        <w:spacing w:line="360" w:lineRule="auto"/>
        <w:rPr>
          <w:sz w:val="24"/>
          <w:szCs w:val="24"/>
        </w:rPr>
      </w:pPr>
      <w:r>
        <w:rPr>
          <w:b/>
          <w:sz w:val="24"/>
          <w:szCs w:val="24"/>
        </w:rPr>
        <w:t>3.2.3</w:t>
      </w:r>
      <w:r>
        <w:rPr>
          <w:rFonts w:hint="eastAsia"/>
          <w:sz w:val="24"/>
          <w:szCs w:val="24"/>
        </w:rPr>
        <w:t xml:space="preserve">  不论建筑功能是否综合，均以各个条／款为基本评判单元。对于某一条文，只要建筑中有相关区域涉及，则该建筑就参评并确定得分。对于条文下设两款分别针对住宅建筑和公共建筑，所评价建筑如果同时具有住宅建筑和公共建筑，则需按这两种功能分别评价后再取平均值。总体原则为：只要有涉及即全部参评；系统性、整体性指标应总体评价；所有部分均满足要求才给分；递进分档的条文，按“就低不就高”的原则确定得分；上述情况之外的特殊情况可特殊处理。标准后文中不再一一说明。建筑整体的等级仍按本标准的规定确定。</w:t>
      </w:r>
    </w:p>
    <w:p>
      <w:pPr>
        <w:spacing w:line="360" w:lineRule="auto"/>
        <w:rPr>
          <w:rFonts w:hint="eastAsia"/>
          <w:bCs/>
          <w:sz w:val="24"/>
          <w:szCs w:val="24"/>
        </w:rPr>
      </w:pPr>
      <w:r>
        <w:rPr>
          <w:b/>
          <w:sz w:val="24"/>
          <w:szCs w:val="24"/>
        </w:rPr>
        <w:t>3.2.4</w:t>
      </w:r>
      <w:r>
        <w:rPr>
          <w:rFonts w:hint="eastAsia"/>
          <w:sz w:val="24"/>
          <w:szCs w:val="24"/>
        </w:rPr>
        <w:t xml:space="preserve">  </w:t>
      </w:r>
      <w:r>
        <w:rPr>
          <w:rFonts w:hint="eastAsia"/>
          <w:bCs/>
          <w:sz w:val="24"/>
          <w:szCs w:val="24"/>
        </w:rPr>
        <w:t>本次修订的绿色建筑评价分值与本标准2016年版变化较大。控制项基础分值的获得条件是满足本标准所有控制项的要求。对于住宅建筑和公共建筑，5类指标同等重要，所以未按照不同建筑类型划分各评价指标评分项的总分值。本次修订，将绿色建筑的评价指标体系评分项分值进行了调整。“资源节约”指标包含了节地、节能、节水、节材的相关内容，故该指标的总分值高于其他指标。”提高与创新”为加分项，鼓励绿色建筑性能提升和技术创新。</w:t>
      </w:r>
    </w:p>
    <w:p>
      <w:pPr>
        <w:widowControl/>
        <w:spacing w:line="360" w:lineRule="auto"/>
        <w:ind w:firstLine="480" w:firstLineChars="200"/>
        <w:rPr>
          <w:rFonts w:hint="eastAsia"/>
          <w:bCs/>
          <w:sz w:val="24"/>
          <w:szCs w:val="24"/>
        </w:rPr>
      </w:pPr>
      <w:r>
        <w:rPr>
          <w:rFonts w:hint="eastAsia"/>
          <w:bCs/>
          <w:sz w:val="24"/>
          <w:szCs w:val="24"/>
        </w:rPr>
        <w:t>“生活便利”指标中“物业管理”小节为建筑项目投入运行后的技术要求，因此，相比绿色建筑的评价，预评价时“生活便利”指标的满分值有所降低。</w:t>
      </w:r>
    </w:p>
    <w:p>
      <w:pPr>
        <w:widowControl/>
        <w:spacing w:line="360" w:lineRule="auto"/>
        <w:ind w:firstLine="480" w:firstLineChars="200"/>
        <w:rPr>
          <w:b/>
          <w:bCs/>
          <w:sz w:val="24"/>
          <w:szCs w:val="24"/>
        </w:rPr>
      </w:pPr>
      <w:r>
        <w:rPr>
          <w:rFonts w:hint="eastAsia"/>
          <w:bCs/>
          <w:sz w:val="24"/>
          <w:szCs w:val="24"/>
        </w:rPr>
        <w:t>本条规定的评价指标评分项满分值、提高与创新加分项满分值均为最高可能的分值。绿色建筑评价应在建筑工程竣工后进行，对于刚刚竣工后即评价的建筑，部分与运行有关的条文仍无法得分。</w:t>
      </w:r>
    </w:p>
    <w:p>
      <w:pPr>
        <w:spacing w:line="360" w:lineRule="auto"/>
        <w:rPr>
          <w:bCs/>
          <w:sz w:val="24"/>
          <w:szCs w:val="24"/>
        </w:rPr>
      </w:pPr>
      <w:r>
        <w:rPr>
          <w:b/>
          <w:sz w:val="24"/>
          <w:szCs w:val="24"/>
        </w:rPr>
        <w:t>3.2.5</w:t>
      </w:r>
      <w:r>
        <w:rPr>
          <w:rFonts w:hint="eastAsia"/>
          <w:sz w:val="24"/>
          <w:szCs w:val="24"/>
        </w:rPr>
        <w:t xml:space="preserve">  </w:t>
      </w:r>
      <w:r>
        <w:rPr>
          <w:rFonts w:hint="eastAsia"/>
          <w:bCs/>
          <w:sz w:val="24"/>
          <w:szCs w:val="24"/>
        </w:rPr>
        <w:t>本条对绿色建筑评价中的总得分的计算方法作出了规定。参评建筑的总得分由控制项基础分值、评分项得分和提高与创新项得分三部分组成，总得分满分为 110 分。控制项基础分值的获得条件是满足本标准所有控制项的要求，提高与创新项得分应按本标准第 9 章的相关要求确定。</w:t>
      </w:r>
    </w:p>
    <w:p>
      <w:pPr>
        <w:spacing w:line="360" w:lineRule="auto"/>
        <w:rPr>
          <w:rFonts w:hint="eastAsia"/>
          <w:bCs/>
          <w:sz w:val="24"/>
          <w:szCs w:val="24"/>
        </w:rPr>
      </w:pPr>
      <w:r>
        <w:rPr>
          <w:b/>
          <w:sz w:val="24"/>
          <w:szCs w:val="24"/>
        </w:rPr>
        <w:t>3.2.6</w:t>
      </w:r>
      <w:r>
        <w:rPr>
          <w:rFonts w:hint="eastAsia"/>
          <w:sz w:val="24"/>
          <w:szCs w:val="24"/>
        </w:rPr>
        <w:t xml:space="preserve">  </w:t>
      </w:r>
      <w:r>
        <w:rPr>
          <w:rFonts w:hint="eastAsia"/>
          <w:bCs/>
          <w:sz w:val="24"/>
          <w:szCs w:val="24"/>
        </w:rPr>
        <w:t>本标准2016年版规定绿色建筑的等级为一星级、二星级、三星级 3 个等级，本次修订，在2016年版规定的星级基础上，增加了“基本级”。</w:t>
      </w:r>
    </w:p>
    <w:p>
      <w:pPr>
        <w:widowControl/>
        <w:spacing w:line="360" w:lineRule="auto"/>
        <w:ind w:firstLine="480" w:firstLineChars="200"/>
        <w:rPr>
          <w:bCs/>
          <w:sz w:val="24"/>
          <w:szCs w:val="24"/>
        </w:rPr>
      </w:pPr>
      <w:r>
        <w:rPr>
          <w:rFonts w:hint="eastAsia"/>
          <w:bCs/>
          <w:sz w:val="24"/>
          <w:szCs w:val="24"/>
        </w:rPr>
        <w:t>目前，广西基本上全面提出绿色建筑施工图审查的技术要求，这种模式在未来一段时间还会继续推行实施，有力推进了绿色建筑发展。本标准作为划分绿色建筑性能档次的评价工具，既要体现其性能评定、技术引领的行业地位，又要兼顾其推广普及绿色建筑的重要作用。因此，在本次修订中新增了“基本级”，扩大绿色建筑的覆盖面。基本级的设置，考虑了广西绿色建筑各地市地域发展的不平衡性，同时考虑与全国强制性规范相适应，也考虑了与国际接轨，便于国际交流。</w:t>
      </w:r>
    </w:p>
    <w:p>
      <w:pPr>
        <w:spacing w:line="360" w:lineRule="auto"/>
        <w:rPr>
          <w:bCs/>
          <w:sz w:val="24"/>
          <w:szCs w:val="24"/>
        </w:rPr>
      </w:pPr>
      <w:r>
        <w:rPr>
          <w:b/>
          <w:sz w:val="24"/>
          <w:szCs w:val="24"/>
        </w:rPr>
        <w:t>3.2.7</w:t>
      </w:r>
      <w:r>
        <w:rPr>
          <w:rFonts w:hint="eastAsia"/>
          <w:sz w:val="24"/>
          <w:szCs w:val="24"/>
        </w:rPr>
        <w:t xml:space="preserve">  </w:t>
      </w:r>
      <w:r>
        <w:rPr>
          <w:rFonts w:hint="eastAsia"/>
          <w:bCs/>
          <w:sz w:val="24"/>
          <w:szCs w:val="24"/>
        </w:rPr>
        <w:t>控制项是绿色建筑的必要条件，当建筑项目满足本标准全部控制项的要求时，绿色建筑的等级即达到基本级。</w:t>
      </w:r>
    </w:p>
    <w:p>
      <w:pPr>
        <w:spacing w:line="360" w:lineRule="auto"/>
        <w:rPr>
          <w:rFonts w:hint="eastAsia"/>
          <w:sz w:val="24"/>
          <w:szCs w:val="24"/>
        </w:rPr>
      </w:pPr>
      <w:r>
        <w:rPr>
          <w:b/>
          <w:sz w:val="24"/>
          <w:szCs w:val="24"/>
        </w:rPr>
        <w:t>3.2.8</w:t>
      </w:r>
      <w:r>
        <w:rPr>
          <w:rFonts w:hint="eastAsia"/>
          <w:sz w:val="24"/>
          <w:szCs w:val="24"/>
        </w:rPr>
        <w:t xml:space="preserve">  当对绿色建筑进行星级评价时，首先应该满足本标准规定的全部控制项要求，同时规定了每类评价指标的最低得分要求，以实现绿色建筑的性能均衡。按本标准第3.2.5条的规定计算得到绿色建筑总得分，当总得分分别达到60分、70分、85分且满足本条第1、2款及表3.2.8的要求时，绿色建筑等级分别为一星级、二星级、三星级。</w:t>
      </w:r>
    </w:p>
    <w:p>
      <w:pPr>
        <w:spacing w:line="360" w:lineRule="auto"/>
        <w:ind w:firstLine="480" w:firstLineChars="200"/>
        <w:rPr>
          <w:rFonts w:hint="eastAsia"/>
          <w:sz w:val="24"/>
          <w:szCs w:val="24"/>
        </w:rPr>
      </w:pPr>
      <w:r>
        <w:rPr>
          <w:rFonts w:hint="eastAsia"/>
          <w:sz w:val="24"/>
          <w:szCs w:val="24"/>
        </w:rPr>
        <w:t>为提升绿色建筑性能和品质，本条对一星级、二星级、三星级绿色建筑在能耗、节水、隔声、室内空气质量、外窗气密性能等方面提出了更高的技术要求。</w:t>
      </w:r>
    </w:p>
    <w:p>
      <w:pPr>
        <w:spacing w:line="360" w:lineRule="auto"/>
        <w:ind w:firstLine="480" w:firstLineChars="200"/>
        <w:rPr>
          <w:rFonts w:hint="eastAsia"/>
          <w:sz w:val="24"/>
          <w:szCs w:val="24"/>
        </w:rPr>
      </w:pPr>
      <w:r>
        <w:rPr>
          <w:rFonts w:hint="eastAsia"/>
          <w:sz w:val="24"/>
          <w:szCs w:val="24"/>
        </w:rPr>
        <w:t>对一星级、二星级、三星级绿色建筑提出了全装修的交付要求。建筑全装修交付能够有效杜绝擅自改变房屋结构等“乱装修”现象，保证建筑安全，避免能源和材料浪费，降低装修成本，节约项目时间，减少室内装修污染及装修带来的环境污染，并避免装修扰民，更加符合现阶段人民对于健康、环保和经济性的要求，对于积极推进绿色建筑实施具有重要的作用。原建设部于 2002 年印发的《商品住宅装修一次到位实施导则》（建住房【2002】190 号）明确提出，推行住宅装修一次到位，其根本目的是“逐步取消毛还房，直接向消费者提供全装修成品房；规范装修市场，促使住宅装修生产从无序走向有序”。 2008 年印发的《关千进一步加强住宅装饰装修管理的通知》（建质 【2008】133号）重申了各地要继续贯彻落实建住房 【2002】190 号文的要求。目前，广西正在积极推进《广西全装修住宅室内装饰装修工程质量验收规范》、《广西全装修住宅室内装修设计标准》等行业标准规范的编制工作，加强规范广西全装修商品房装修工程的建设以及交付行为，提高商品住房全装修的质量。推行全装修，在绿色建筑中全面推行全装修的时机已经成熟。对于住宅建筑，宜提供菜单式的全装修方案，每个装修方案均应提供可供选择的不同档次、风格的材料和设备菜单，促进标准化和个性化的协调，满足消费者个性化需要，满足市场需求。本标准术语中，对住宅建筑和公共建筑的全装修范围进行了界定。为保证全装修的质量，避免二次装修，住宅建筑的套内及公共区域全装修应满足现行行业标准《住宅室内装饰装修设计规范》 JGJ 367 、《住宅室内装饰装修工程质量验收规范》JGJ/T304 及现行国家标准《建筑装饰装修工程质量验收标准》 GB50210 等相关标准的要求。公共建筑的公共区域全装修应满足现行国家标准《建筑装饰装修工程质量验收标准》 GB 50210等相关标准的要求。全装修所选用的材料和产品，如瓷砖、卫生器具、板材等，应为质量合格产品，满足相应产品标准的质量要求。此外，全装修所选用的材料和产品，应结合当地的品牌认可和消费习惯，最大程度避免二次装修。</w:t>
      </w:r>
    </w:p>
    <w:p>
      <w:pPr>
        <w:spacing w:line="360" w:lineRule="auto"/>
        <w:ind w:firstLine="480" w:firstLineChars="200"/>
        <w:rPr>
          <w:rFonts w:hint="eastAsia"/>
          <w:sz w:val="24"/>
          <w:szCs w:val="24"/>
        </w:rPr>
      </w:pPr>
      <w:r>
        <w:rPr>
          <w:rFonts w:hint="eastAsia"/>
          <w:sz w:val="24"/>
          <w:szCs w:val="24"/>
        </w:rPr>
        <w:t>对一星级、二星级、三星级绿色建筑的建筑能耗提出了更高的要求，具体包括围护结构热工性能的提高或建筑供暖空调负荷的降低。具体计算方法，详见本标准第7.2.4条的条文说明。</w:t>
      </w:r>
    </w:p>
    <w:p>
      <w:pPr>
        <w:spacing w:line="360" w:lineRule="auto"/>
        <w:ind w:firstLine="480" w:firstLineChars="200"/>
        <w:rPr>
          <w:rFonts w:hint="eastAsia"/>
          <w:sz w:val="24"/>
          <w:szCs w:val="24"/>
        </w:rPr>
      </w:pPr>
      <w:r>
        <w:rPr>
          <w:rFonts w:hint="eastAsia"/>
          <w:sz w:val="24"/>
          <w:szCs w:val="24"/>
        </w:rPr>
        <w:t>对二星级、三星级绿色建筑用水器具的用水效率提出了要求，相关用水器具的用水效率标准及评价方法，详见本标准第7.2.10条的条文说明。</w:t>
      </w:r>
    </w:p>
    <w:p>
      <w:pPr>
        <w:spacing w:line="360" w:lineRule="auto"/>
        <w:ind w:firstLine="480" w:firstLineChars="200"/>
        <w:rPr>
          <w:rFonts w:hint="eastAsia"/>
          <w:sz w:val="24"/>
          <w:szCs w:val="24"/>
        </w:rPr>
      </w:pPr>
      <w:r>
        <w:rPr>
          <w:rFonts w:hint="eastAsia"/>
          <w:sz w:val="24"/>
          <w:szCs w:val="24"/>
        </w:rPr>
        <w:t>对二星级、三星级绿色建筑（住宅建筑）的隔声性能提出了要求。国家标准《民用建筑隔声设计规范》GB 50118第4章规定了住宅建筑声环境的相关限值，但对室外与卧室之间的空气声隔声性能未作规定。根据住房城乡建设部标准定额司函《住房城乡建设部标准定额司关于开展（民用建筑隔声设计规范〉局部修订工作的函》（建标标函 (2018] 176 号）的要求，国家标准《民用建筑隔声设计规范》GB 50118正在局部修订，本次修订将增加住宅建筑室外与卧室之间空气声隔声性能的指标要求，还将对住宅建筑声环境性能指标进行提升。在《民用建筑隔声设计规范》GB 50118局部修订尚未实施前，二星级绿色建筑的室外与卧室之间的空气声隔声性能按（D</w:t>
      </w:r>
      <w:r>
        <w:rPr>
          <w:rFonts w:hint="eastAsia"/>
          <w:sz w:val="24"/>
          <w:szCs w:val="24"/>
          <w:vertAlign w:val="subscript"/>
        </w:rPr>
        <w:t>nT,w</w:t>
      </w:r>
      <w:r>
        <w:rPr>
          <w:rFonts w:hint="eastAsia"/>
          <w:sz w:val="24"/>
          <w:szCs w:val="24"/>
        </w:rPr>
        <w:t>+C</w:t>
      </w:r>
      <w:r>
        <w:rPr>
          <w:rFonts w:hint="eastAsia"/>
          <w:sz w:val="24"/>
          <w:szCs w:val="24"/>
          <w:vertAlign w:val="subscript"/>
        </w:rPr>
        <w:t>tr</w:t>
      </w:r>
      <w:r>
        <w:rPr>
          <w:rFonts w:hint="eastAsia"/>
          <w:sz w:val="24"/>
          <w:szCs w:val="24"/>
        </w:rPr>
        <w:t>）≥35dB 进行评价，三星级绿色建筑的室外与卧室之间的空气声隔声性能按（C</w:t>
      </w:r>
      <w:r>
        <w:rPr>
          <w:rFonts w:hint="eastAsia"/>
          <w:sz w:val="24"/>
          <w:szCs w:val="24"/>
          <w:vertAlign w:val="subscript"/>
        </w:rPr>
        <w:t>nT,w</w:t>
      </w:r>
      <w:r>
        <w:rPr>
          <w:rFonts w:hint="eastAsia"/>
          <w:sz w:val="24"/>
          <w:szCs w:val="24"/>
        </w:rPr>
        <w:t xml:space="preserve"> +C</w:t>
      </w:r>
      <w:r>
        <w:rPr>
          <w:rFonts w:hint="eastAsia"/>
          <w:sz w:val="24"/>
          <w:szCs w:val="24"/>
          <w:vertAlign w:val="subscript"/>
        </w:rPr>
        <w:t>tr</w:t>
      </w:r>
      <w:r>
        <w:rPr>
          <w:rFonts w:hint="eastAsia"/>
          <w:sz w:val="24"/>
          <w:szCs w:val="24"/>
        </w:rPr>
        <w:t>）≥40dB 进行评价，其余指标按现行国家标准《民用建筑隔声设计规范》GB 50118 的有关规定进行评价。在《民用建筑隔声设计规范》GB 50118局部修订完成且实施后，本条应按照修订后的住宅建筑室外与卧室之间、分户墙或分户楼板两侧卧室之间的空气声隔声性能，以及卧室楼板的撞击声隔声性能的相关要求进行评价。室外与卧室之间空气声隔声性能，预评价时通过外窗和外墙的隔声性能，按组合隔声量的理论进行预测，并提供分析报告；评价时，应提供室外与卧室之间空气声隔声性能检测报告。其余指标的评价方法，详见本标准第5. 1.4和5.2.7条的条文说明。</w:t>
      </w:r>
    </w:p>
    <w:p>
      <w:pPr>
        <w:spacing w:line="360" w:lineRule="auto"/>
        <w:ind w:firstLine="480" w:firstLineChars="200"/>
        <w:rPr>
          <w:rFonts w:hint="eastAsia"/>
          <w:sz w:val="24"/>
          <w:szCs w:val="24"/>
        </w:rPr>
      </w:pPr>
      <w:r>
        <w:rPr>
          <w:rFonts w:hint="eastAsia"/>
          <w:sz w:val="24"/>
          <w:szCs w:val="24"/>
        </w:rPr>
        <w:t>对一星级、二星级、三星级绿色建筑室内主要的空气污染物浓度限值进行了规定。具体评价方法，详见本标准第5.1.1条的条文说明。</w:t>
      </w:r>
    </w:p>
    <w:p>
      <w:pPr>
        <w:spacing w:line="360" w:lineRule="auto"/>
        <w:ind w:firstLine="480" w:firstLineChars="200"/>
        <w:rPr>
          <w:rFonts w:hint="eastAsia"/>
          <w:sz w:val="24"/>
          <w:szCs w:val="24"/>
        </w:rPr>
      </w:pPr>
      <w:r>
        <w:rPr>
          <w:rFonts w:hint="eastAsia"/>
          <w:sz w:val="24"/>
          <w:szCs w:val="24"/>
        </w:rPr>
        <w:t>对一星级、二星级、三星级绿色建筑的外窗气密性能及外窗安装施工质量提出了要求。外窗的气密性能应符合国家现行标准《公共建筑节能设计标准》GB 50189 、《夏热冬冷地区居住建筑节能设计标准》JGJ 134 、《夏热冬暖地区居住建筑节能设计标准》 JGJ 75、《广西壮族自治区居住建筑节能设计标准》DBJ45/029、广西壮族自治区《公共建筑节能设计标准》DBJ/T45-042等相关标准规范的规定。在外窗安装施工过程中，应严格按照相关工法和相关验收标准要求进行，外窗四周的密封应完整、连续，并应形成封闭的密封结构，保证外窗洞口与外窗本体的结合部位严密；外窗的现场气密性能检测与合格判定应符合现行行业标准《公共建筑节能检测标准》JGJ/T177 或《居住建筑节能检测标准》 JGJ/T 132 的规定。评价方法为：预评价查阅外窗气密性能设计文件、外窗气密性能检测报告；评价查阅外窗气密性能设计文件、外窗气密性能检测报告、外窗气密性能现场检测报告。</w:t>
      </w:r>
    </w:p>
    <w:p>
      <w:pPr>
        <w:spacing w:line="360" w:lineRule="auto"/>
        <w:jc w:val="center"/>
        <w:outlineLvl w:val="0"/>
        <w:rPr>
          <w:b/>
          <w:bCs/>
          <w:sz w:val="32"/>
          <w:szCs w:val="32"/>
        </w:rPr>
      </w:pPr>
      <w:r>
        <w:rPr>
          <w:sz w:val="24"/>
          <w:szCs w:val="24"/>
        </w:rPr>
        <w:br w:type="page"/>
      </w:r>
      <w:bookmarkStart w:id="131" w:name="_Toc24543013"/>
      <w:r>
        <w:rPr>
          <w:rFonts w:hint="eastAsia"/>
          <w:b/>
          <w:sz w:val="32"/>
          <w:szCs w:val="32"/>
        </w:rPr>
        <w:t>4  安 全 耐 久</w:t>
      </w:r>
      <w:bookmarkEnd w:id="131"/>
    </w:p>
    <w:p>
      <w:pPr>
        <w:pStyle w:val="18"/>
        <w:spacing w:beforeLines="0" w:line="360" w:lineRule="auto"/>
        <w:ind w:firstLine="0" w:firstLineChars="0"/>
        <w:rPr>
          <w:rFonts w:eastAsia="黑体"/>
          <w:szCs w:val="21"/>
        </w:rPr>
      </w:pPr>
      <w:bookmarkStart w:id="132" w:name="_Toc24543014"/>
      <w:r>
        <w:rPr>
          <w:rFonts w:hint="eastAsia"/>
        </w:rPr>
        <w:t>4.1  控 制 项</w:t>
      </w:r>
      <w:bookmarkEnd w:id="132"/>
    </w:p>
    <w:p>
      <w:pPr>
        <w:spacing w:line="360" w:lineRule="auto"/>
        <w:rPr>
          <w:sz w:val="24"/>
          <w:szCs w:val="24"/>
        </w:rPr>
      </w:pPr>
      <w:r>
        <w:rPr>
          <w:rFonts w:hint="eastAsia"/>
          <w:b/>
          <w:sz w:val="24"/>
          <w:szCs w:val="24"/>
        </w:rPr>
        <w:t>4.1.1</w:t>
      </w:r>
      <w:r>
        <w:rPr>
          <w:rFonts w:hint="eastAsia"/>
          <w:sz w:val="24"/>
          <w:szCs w:val="24"/>
        </w:rPr>
        <w:t xml:space="preserve">  本条适用于各类民用建筑的预评价、评价。</w:t>
      </w:r>
    </w:p>
    <w:p>
      <w:pPr>
        <w:spacing w:line="360" w:lineRule="auto"/>
        <w:ind w:firstLine="480" w:firstLineChars="200"/>
        <w:jc w:val="left"/>
        <w:rPr>
          <w:sz w:val="24"/>
          <w:szCs w:val="24"/>
        </w:rPr>
      </w:pPr>
      <w:r>
        <w:rPr>
          <w:rFonts w:hint="eastAsia"/>
          <w:sz w:val="24"/>
          <w:szCs w:val="24"/>
        </w:rPr>
        <w:t>本条在本标准2016年版第4.1.2条基础上发展而来。本条对绿色建筑的场地安全提出要求。建筑场地与各类危险源的距离应满足相应危险源的安全防护距离等控制要求，对场地中不利地段或潜在危险源应采取必要的避让、防护或控制、治理等措施，对场地中存在的有毒有害物质应采取有效的治理措施进行无害化处理，确保符合各项安全标准。</w:t>
      </w:r>
    </w:p>
    <w:p>
      <w:pPr>
        <w:spacing w:line="360" w:lineRule="auto"/>
        <w:ind w:firstLine="480" w:firstLineChars="200"/>
        <w:jc w:val="left"/>
        <w:rPr>
          <w:rFonts w:hint="eastAsia"/>
          <w:sz w:val="24"/>
          <w:szCs w:val="24"/>
        </w:rPr>
      </w:pPr>
      <w:r>
        <w:rPr>
          <w:rFonts w:hint="eastAsia"/>
          <w:sz w:val="24"/>
          <w:szCs w:val="24"/>
        </w:rPr>
        <w:t>场地的防洪设计应符合现行国家标准《防洪标准》GB50201和《城市防洪工程设计规范》GB/T50805的有关规定，选址尚应符合现行国家标准《城市抗震防灾规划标准》GB50143和《建筑抗震设计规范》GB50011的规定；电磁辐射应符合现行国家标准《电磁环境控制限值》GB8702的有关规定；土壤中氡浓度的控制应符合现行国家标准《民用建筑工程室内环境污染控制规范》GB50325的有关规定；场地及周边的加油站、加气站等危险源应满足国家现行相关标准中关于安全防护距离等的控制要求。</w:t>
      </w:r>
    </w:p>
    <w:p>
      <w:pPr>
        <w:spacing w:line="360" w:lineRule="auto"/>
        <w:ind w:firstLine="480" w:firstLineChars="200"/>
        <w:jc w:val="left"/>
        <w:rPr>
          <w:sz w:val="24"/>
          <w:szCs w:val="24"/>
        </w:rPr>
      </w:pPr>
      <w:r>
        <w:rPr>
          <w:rFonts w:hint="eastAsia"/>
          <w:sz w:val="24"/>
          <w:szCs w:val="24"/>
        </w:rPr>
        <w:t>本条的评价方法为：预评价查阅项目区位图、场地地形图、勘察报告、环评报告、相关检测报告或论证报告；评价查阅项目区位图、场地地形图、勘察报告、环评报告、相关检测报告或论证报告。</w:t>
      </w:r>
    </w:p>
    <w:p>
      <w:pPr>
        <w:spacing w:line="360" w:lineRule="auto"/>
        <w:rPr>
          <w:sz w:val="24"/>
          <w:szCs w:val="24"/>
        </w:rPr>
      </w:pPr>
      <w:r>
        <w:rPr>
          <w:rFonts w:hint="eastAsia"/>
          <w:b/>
          <w:sz w:val="24"/>
          <w:szCs w:val="24"/>
        </w:rPr>
        <w:t xml:space="preserve">4.1.2  </w:t>
      </w:r>
      <w:r>
        <w:rPr>
          <w:rFonts w:hint="eastAsia"/>
          <w:sz w:val="24"/>
          <w:szCs w:val="24"/>
        </w:rPr>
        <w:t>本条适用于各类民用建筑的预评价、评价。</w:t>
      </w:r>
    </w:p>
    <w:p>
      <w:pPr>
        <w:spacing w:line="360" w:lineRule="auto"/>
        <w:ind w:firstLine="480" w:firstLineChars="200"/>
        <w:jc w:val="left"/>
        <w:rPr>
          <w:sz w:val="24"/>
          <w:szCs w:val="24"/>
        </w:rPr>
      </w:pPr>
      <w:r>
        <w:rPr>
          <w:rFonts w:hint="eastAsia"/>
          <w:sz w:val="24"/>
          <w:szCs w:val="24"/>
        </w:rPr>
        <w:t>本条为新增条文。建筑结构的承载力和建筑使用功能要求主要涉及安全与耐久，是满足建筑长期使用要求的首要条件。结构的耐久性指在规定的使用年限内结构构件保持承载力和外观的能力，并满足建筑使用功能要求。结构设计应满足承载能力极限状态计算和正常使用极限状态验算的要求，并应符合国家现行相关标准的规定，包括但不限于《建筑结构可靠性设计统一标准》GB 50068 、《建筑结构荷载规范》GB 50009 、《混凝土结构设计规范》GB 50010 、《混凝土结构耐久性设计标准》GB/T 50476 、《建筑地基基础设计规范》GB 50007 、《钢结构设计标准》GB50017 、《建筑抗震设计规范》GB 50011 、《砌体结构设计规范》GB 50003 、《木结构设计标准》GB 50005 、《建筑抗震鉴定标准》GB 50023 及《高层建筑混凝土结构技术规程》JGJ 3 等；同时，针对建筑运行期内可能出现地基不均匀沉降、使用环境影响导致的钢材锈蚀等影响结构安全的问题，应定期对结构进行检查、维护与管理。</w:t>
      </w:r>
    </w:p>
    <w:p>
      <w:pPr>
        <w:spacing w:line="360" w:lineRule="auto"/>
        <w:ind w:firstLine="480" w:firstLineChars="200"/>
        <w:jc w:val="left"/>
        <w:rPr>
          <w:sz w:val="24"/>
          <w:szCs w:val="24"/>
        </w:rPr>
      </w:pPr>
      <w:r>
        <w:rPr>
          <w:rFonts w:hint="eastAsia"/>
          <w:sz w:val="24"/>
          <w:szCs w:val="24"/>
        </w:rPr>
        <w:t>建筑外墙、屋面、门窗、幕墙及外保温等围护结构应满足安全、耐久和防护要求，与建筑主体结构连接可靠，且能适合主体结构在多遇地震及各种荷载作用下的变形。建筑围护结构防水对于建筑美观、耐久性能、正常使用功能和寿命都有重要影响，因此建筑外墙、建筑外保温系统、屋面、幕墙门窗等还应符合《建筑外墙防水工程技术规程》JGJ/T 235 、《外墙外保温工程技术规程》JGJ 144 、《屋面工程技术规范》GB 50345 、《建筑幕墙》GB/T 21086 、《玻璃幕墙工程技术规范》JGJ 102 、《建筑玻璃点支承装置》JG/T 138 、《吊挂式玻璃幕墙用吊夹》JG 139 、《金属与石材幕墙工程技术规范》JGJ 133 、《塑料门窗工程技术规程》JGJ 103 、《铝合金门窗工程技术规范》JGJ 214 等现行标准中关于防水材料和防水设计施工的规定。</w:t>
      </w:r>
    </w:p>
    <w:p>
      <w:pPr>
        <w:spacing w:line="360" w:lineRule="auto"/>
        <w:ind w:firstLine="480" w:firstLineChars="200"/>
        <w:jc w:val="left"/>
        <w:rPr>
          <w:sz w:val="24"/>
          <w:szCs w:val="24"/>
        </w:rPr>
      </w:pPr>
      <w:r>
        <w:rPr>
          <w:rFonts w:hint="eastAsia"/>
          <w:sz w:val="24"/>
          <w:szCs w:val="24"/>
        </w:rPr>
        <w:t>本条的评价方法为：预评价查阅相关设计文件（含设计说明、计算书等）；评价查阅相关竣工图（含设计说明、计算书等）。</w:t>
      </w:r>
    </w:p>
    <w:p>
      <w:pPr>
        <w:spacing w:line="360" w:lineRule="auto"/>
        <w:rPr>
          <w:sz w:val="24"/>
          <w:szCs w:val="24"/>
        </w:rPr>
      </w:pPr>
      <w:r>
        <w:rPr>
          <w:rFonts w:hint="eastAsia"/>
          <w:b/>
          <w:sz w:val="24"/>
          <w:szCs w:val="24"/>
        </w:rPr>
        <w:t xml:space="preserve">4.1.3  </w:t>
      </w:r>
      <w:r>
        <w:rPr>
          <w:rFonts w:hint="eastAsia"/>
          <w:sz w:val="24"/>
          <w:szCs w:val="24"/>
        </w:rPr>
        <w:t>本条适用于各类民用建筑的预评价、评价。</w:t>
      </w:r>
    </w:p>
    <w:p>
      <w:pPr>
        <w:spacing w:line="360" w:lineRule="auto"/>
        <w:ind w:firstLine="480" w:firstLineChars="200"/>
        <w:jc w:val="left"/>
        <w:rPr>
          <w:sz w:val="24"/>
          <w:szCs w:val="24"/>
        </w:rPr>
      </w:pPr>
      <w:r>
        <w:rPr>
          <w:rFonts w:hint="eastAsia"/>
          <w:sz w:val="24"/>
          <w:szCs w:val="24"/>
        </w:rPr>
        <w:t>本条为新增条文。外遮阳、太阳能设施、空调室外机位、外墙花池等外部设施应与建筑主体结构统一设计、施工，确保连接可靠，并应符合《建筑遮阳工程技术规范》JGJ 237 、《民用建筑太阳能热水系统应用技术标准》GB 50364 、《民用建筑太阳能光伏系统应用技术规范》JGJ 203 、《装配式混凝土建筑技术标准》GB/T 51231 等现行相关标准的规定。</w:t>
      </w:r>
    </w:p>
    <w:p>
      <w:pPr>
        <w:spacing w:line="360" w:lineRule="auto"/>
        <w:ind w:firstLine="480" w:firstLineChars="200"/>
        <w:jc w:val="left"/>
        <w:rPr>
          <w:sz w:val="24"/>
          <w:szCs w:val="24"/>
        </w:rPr>
      </w:pPr>
      <w:r>
        <w:rPr>
          <w:rFonts w:hint="eastAsia"/>
          <w:sz w:val="24"/>
          <w:szCs w:val="24"/>
        </w:rPr>
        <w:t>外部设施需要定期检修和维护，因此在建筑设计时应考虑后期检修和维护条件，如设计检修通道、马道和吊篮固定端等。当与主体结构不同时施工时，应设预埋件，并在设计文件中明确预埋件的检测验证参数及要求，确保其安全性与耐久性。比如，每年频发的空调外机坠落伤人或安装人员作业时跌落伤亡事故，已成为建筑的重大危险源，故新建或改建建筑设计时预留与主体结构连接牢固的空调外机安装位置，并与拟定的机型大小匹配，同时预留操作空间，保障安装、检修、维护人员安全。</w:t>
      </w:r>
    </w:p>
    <w:p>
      <w:pPr>
        <w:spacing w:line="360" w:lineRule="auto"/>
        <w:ind w:firstLine="480" w:firstLineChars="200"/>
        <w:jc w:val="left"/>
        <w:rPr>
          <w:sz w:val="24"/>
          <w:szCs w:val="24"/>
        </w:rPr>
      </w:pPr>
      <w:r>
        <w:rPr>
          <w:rFonts w:hint="eastAsia"/>
          <w:sz w:val="24"/>
          <w:szCs w:val="24"/>
        </w:rPr>
        <w:t>本条的评价方法为：预评价查阅相关设计文件（含设计说明、计算书等）；评价查阅相关竣工图（含设计说明、计算书等）、检修和维护条件。</w:t>
      </w:r>
    </w:p>
    <w:p>
      <w:pPr>
        <w:spacing w:line="360" w:lineRule="auto"/>
        <w:rPr>
          <w:sz w:val="24"/>
          <w:szCs w:val="24"/>
        </w:rPr>
      </w:pPr>
      <w:r>
        <w:rPr>
          <w:rFonts w:hint="eastAsia"/>
          <w:b/>
          <w:sz w:val="24"/>
          <w:szCs w:val="24"/>
        </w:rPr>
        <w:t xml:space="preserve">4.1.4  </w:t>
      </w:r>
      <w:r>
        <w:rPr>
          <w:rFonts w:hint="eastAsia"/>
          <w:sz w:val="24"/>
          <w:szCs w:val="24"/>
        </w:rPr>
        <w:t>本条适用于各类民用建筑的预评价、评价。</w:t>
      </w:r>
    </w:p>
    <w:p>
      <w:pPr>
        <w:spacing w:line="360" w:lineRule="auto"/>
        <w:ind w:firstLine="480" w:firstLineChars="200"/>
        <w:jc w:val="left"/>
        <w:rPr>
          <w:sz w:val="24"/>
          <w:szCs w:val="24"/>
        </w:rPr>
      </w:pPr>
      <w:r>
        <w:rPr>
          <w:rFonts w:hint="eastAsia"/>
          <w:sz w:val="24"/>
          <w:szCs w:val="24"/>
        </w:rPr>
        <w:t>本条为新增条文。建筑内部的非结构构件包括非承重墙体、附着于楼屋面结构的构件、装饰构件和部件等。设备指建筑中为建筑使用功能服务的附属机械、电气构件、部件和系统，主要包括电梯、照明和应急电源、通信设备，管道系统、采暖和空气调节系统、烟火监测和消防系统、公用天线等。附属设施包括整体卫生间、橱柜、储物柜等。</w:t>
      </w:r>
    </w:p>
    <w:p>
      <w:pPr>
        <w:spacing w:line="360" w:lineRule="auto"/>
        <w:ind w:firstLine="480" w:firstLineChars="200"/>
        <w:jc w:val="left"/>
        <w:rPr>
          <w:sz w:val="24"/>
          <w:szCs w:val="24"/>
        </w:rPr>
      </w:pPr>
      <w:r>
        <w:rPr>
          <w:rFonts w:hint="eastAsia"/>
          <w:sz w:val="24"/>
          <w:szCs w:val="24"/>
        </w:rPr>
        <w:t>建筑内部非结构构件、设备及附属设施等应满足建筑使用的安全性。如门窗、防护栏杆等应满足国家现行相关设计标准要求并安装牢固，防止跌落事故发生；且应根据腐蚀环境选用材料或进行耐腐蚀处理。近年因装饰装修脱落导致人员伤亡事故屡见不鲜，如吊链或连接件锈蚀导致吊灯掉落、吊顶脱落、瓷砖脱落等等。室内装饰装修除应符合国家现行相关标准的规定外，还需对承重材料的力学性能进行检测验证。装饰构件之间以及装饰构件与建筑墙体、楼板等构件之间的连接力学性能应满足设计要求，连接可靠并能适合主体结构在地震作用之外各种荷载作用下的变形。</w:t>
      </w:r>
    </w:p>
    <w:p>
      <w:pPr>
        <w:spacing w:line="360" w:lineRule="auto"/>
        <w:ind w:firstLine="480" w:firstLineChars="200"/>
        <w:jc w:val="left"/>
        <w:rPr>
          <w:sz w:val="24"/>
          <w:szCs w:val="24"/>
        </w:rPr>
      </w:pPr>
      <w:r>
        <w:rPr>
          <w:rFonts w:hint="eastAsia"/>
          <w:sz w:val="24"/>
          <w:szCs w:val="24"/>
        </w:rPr>
        <w:t>建筑部品、非结构构件及附属设备等应采用机械固定、焊接、预埋等牢固性构件连接方式或一体化建造方式与建筑主体结构可靠连接，防止由于个别构件破坏引起连续性破坏或倒塌。应注意的是，以膨胀螺栓、捆绑、支架等连接或安装方式均不能视为一体化措施。</w:t>
      </w:r>
    </w:p>
    <w:p>
      <w:pPr>
        <w:spacing w:line="360" w:lineRule="auto"/>
        <w:ind w:firstLine="480" w:firstLineChars="200"/>
        <w:jc w:val="left"/>
        <w:rPr>
          <w:sz w:val="24"/>
          <w:szCs w:val="24"/>
        </w:rPr>
      </w:pPr>
      <w:r>
        <w:rPr>
          <w:rFonts w:hint="eastAsia"/>
          <w:sz w:val="24"/>
          <w:szCs w:val="24"/>
        </w:rPr>
        <w:t>本条的评价方法为：预评价查阅相关设计文件（含各连接件、配件、预埋件的力学性能及检测检验报告，计算书，施工图）、产品设计要求等；评价查阅相关竣工图、材料决算清单、产品说明书、力学及耐久性能测试或试验报告。</w:t>
      </w:r>
    </w:p>
    <w:p>
      <w:pPr>
        <w:spacing w:line="360" w:lineRule="auto"/>
        <w:rPr>
          <w:sz w:val="24"/>
          <w:szCs w:val="24"/>
        </w:rPr>
      </w:pPr>
      <w:r>
        <w:rPr>
          <w:rFonts w:hint="eastAsia"/>
          <w:b/>
          <w:sz w:val="24"/>
          <w:szCs w:val="24"/>
        </w:rPr>
        <w:t>4.1.5</w:t>
      </w:r>
      <w:r>
        <w:rPr>
          <w:rFonts w:hint="eastAsia"/>
          <w:sz w:val="24"/>
          <w:szCs w:val="24"/>
        </w:rPr>
        <w:t xml:space="preserve">  本条适用于各类民用建筑的预评价、评价。</w:t>
      </w:r>
    </w:p>
    <w:p>
      <w:pPr>
        <w:spacing w:line="360" w:lineRule="auto"/>
        <w:ind w:firstLine="480" w:firstLineChars="200"/>
        <w:jc w:val="left"/>
        <w:rPr>
          <w:sz w:val="24"/>
          <w:szCs w:val="24"/>
        </w:rPr>
      </w:pPr>
      <w:r>
        <w:rPr>
          <w:rFonts w:hint="eastAsia"/>
          <w:sz w:val="24"/>
          <w:szCs w:val="24"/>
        </w:rPr>
        <w:t>本条为新增条文。门窗是实现建筑物理性能的极其重要的功能性构件。设计时外门窗应以满足不同气候及环境条件下的建筑物使用功能要求为目标，明确抗风压性能、水密性能指标和等级，并应符合《塑料门窗工程技术规程》JGJ103、《铝合金门窗工程技术规范》JGJ214等现行相关标准的规定。</w:t>
      </w:r>
    </w:p>
    <w:p>
      <w:pPr>
        <w:spacing w:line="360" w:lineRule="auto"/>
        <w:ind w:firstLine="480" w:firstLineChars="200"/>
        <w:jc w:val="left"/>
        <w:rPr>
          <w:sz w:val="24"/>
          <w:szCs w:val="24"/>
        </w:rPr>
      </w:pPr>
      <w:r>
        <w:rPr>
          <w:rFonts w:hint="eastAsia"/>
          <w:sz w:val="24"/>
          <w:szCs w:val="24"/>
        </w:rPr>
        <w:t>外门窗的检测与验收应按《建筑外门窗气密、水密、抗风压性能分级及检测方法》GB/T7106、《建筑外窗气密、水密、抗风压性能现场检测方法》JG/T211、《建筑门窗工程检测技术规程》JGJ/T205、《建筑装饰装修工程质量验收标准》GB 50210等现行相关标准的规定执行。</w:t>
      </w:r>
    </w:p>
    <w:p>
      <w:pPr>
        <w:spacing w:line="360" w:lineRule="auto"/>
        <w:ind w:firstLine="480" w:firstLineChars="200"/>
        <w:jc w:val="left"/>
        <w:rPr>
          <w:sz w:val="24"/>
          <w:szCs w:val="24"/>
        </w:rPr>
      </w:pPr>
      <w:r>
        <w:rPr>
          <w:rFonts w:hint="eastAsia"/>
          <w:sz w:val="24"/>
          <w:szCs w:val="24"/>
        </w:rPr>
        <w:t>本条的评价方法为：预评价查阅相关设计文件、门窗产品三性检测报告；评价查阅相关竣工图、门窗产品三性检测报告和外窗现场三性检测报告、施工工法说明文件。</w:t>
      </w:r>
    </w:p>
    <w:p>
      <w:pPr>
        <w:spacing w:line="360" w:lineRule="auto"/>
        <w:rPr>
          <w:sz w:val="24"/>
          <w:szCs w:val="24"/>
        </w:rPr>
      </w:pPr>
      <w:r>
        <w:rPr>
          <w:rFonts w:hint="eastAsia"/>
          <w:b/>
          <w:sz w:val="24"/>
          <w:szCs w:val="24"/>
        </w:rPr>
        <w:t xml:space="preserve">4.1.6  </w:t>
      </w:r>
      <w:r>
        <w:rPr>
          <w:rFonts w:hint="eastAsia"/>
          <w:sz w:val="24"/>
          <w:szCs w:val="24"/>
        </w:rPr>
        <w:t>本条适用于各类民用建筑的预评价、评价。</w:t>
      </w:r>
    </w:p>
    <w:p>
      <w:pPr>
        <w:spacing w:line="360" w:lineRule="auto"/>
        <w:ind w:firstLine="480" w:firstLineChars="200"/>
        <w:jc w:val="left"/>
        <w:rPr>
          <w:sz w:val="24"/>
          <w:szCs w:val="24"/>
        </w:rPr>
      </w:pPr>
      <w:r>
        <w:rPr>
          <w:rFonts w:hint="eastAsia"/>
          <w:sz w:val="24"/>
          <w:szCs w:val="24"/>
        </w:rPr>
        <w:t>本条为新增条文。本条对卫生间、浴室等有水房间的防水进行了规定。为避免水蒸气透过墙体或顶棚，使隔壁房间或住户受潮气影响，导致诸如墙体发霉、破坏装修效果（壁纸脱落、发霉，涂料层起鼓、粉化，地板变形等）等情况发生，要求所有卫生间、浴室墙、地面做防水层，墙面、顶棚均做防潮处理。防水层和防潮层设计应符合现行行业标准《住宅室内防水工程技术规范》JGJ298的规定。</w:t>
      </w:r>
    </w:p>
    <w:p>
      <w:pPr>
        <w:spacing w:line="360" w:lineRule="auto"/>
        <w:ind w:firstLine="480" w:firstLineChars="200"/>
        <w:jc w:val="left"/>
        <w:rPr>
          <w:sz w:val="24"/>
          <w:szCs w:val="24"/>
        </w:rPr>
      </w:pPr>
      <w:r>
        <w:rPr>
          <w:rFonts w:hint="eastAsia"/>
          <w:sz w:val="24"/>
          <w:szCs w:val="24"/>
        </w:rPr>
        <w:t>本条的评价方法为：预评价查阅相关设计文件、防水和防潮措施说明；评价查阅相关竣工图、防水和防潮措施说明。</w:t>
      </w:r>
    </w:p>
    <w:p>
      <w:pPr>
        <w:spacing w:line="360" w:lineRule="auto"/>
        <w:rPr>
          <w:sz w:val="24"/>
          <w:szCs w:val="24"/>
        </w:rPr>
      </w:pPr>
      <w:r>
        <w:rPr>
          <w:rFonts w:hint="eastAsia"/>
          <w:b/>
          <w:sz w:val="24"/>
          <w:szCs w:val="24"/>
        </w:rPr>
        <w:t xml:space="preserve">4.1.7  </w:t>
      </w:r>
      <w:r>
        <w:rPr>
          <w:rFonts w:hint="eastAsia"/>
          <w:sz w:val="24"/>
          <w:szCs w:val="24"/>
        </w:rPr>
        <w:t>本条适用于各类民用建筑的预评价、评价。</w:t>
      </w:r>
    </w:p>
    <w:p>
      <w:pPr>
        <w:spacing w:line="360" w:lineRule="auto"/>
        <w:ind w:firstLine="480" w:firstLineChars="200"/>
        <w:jc w:val="left"/>
        <w:rPr>
          <w:sz w:val="24"/>
          <w:szCs w:val="24"/>
        </w:rPr>
      </w:pPr>
      <w:r>
        <w:rPr>
          <w:rFonts w:hint="eastAsia"/>
          <w:sz w:val="24"/>
          <w:szCs w:val="24"/>
        </w:rPr>
        <w:t>本条为新增条文。在发生突发事件时，疏散和救护顺畅非常重要，必须在场地和建筑设计中考虑到对策和措施。建筑应根据其高度、规模、使用功能和耐火等级等因素合理设置安全疏散和避难设施。安全出口和疏散门的位置、数量、宽度及疏散楼梯间的形式，应满足人员安全疏散的要求。走廊、疏散通道等应满足现行国家标准《建筑设计防火规范》GB 50016 、《防灾避难场所设计规范》GB 51143 等对安全疏散和避难、应急交通的相关要求。本条重在强调保持通行空间路线畅通、视线清晰，不应有阳台花池、机电箱等凸向走廊、疏散通道的设计，防止对人员活动、步行交通、消防疏散埋下安全隐患。</w:t>
      </w:r>
    </w:p>
    <w:p>
      <w:pPr>
        <w:spacing w:line="360" w:lineRule="auto"/>
        <w:ind w:firstLine="480" w:firstLineChars="200"/>
        <w:jc w:val="left"/>
        <w:rPr>
          <w:sz w:val="24"/>
          <w:szCs w:val="24"/>
        </w:rPr>
      </w:pPr>
      <w:r>
        <w:rPr>
          <w:rFonts w:hint="eastAsia"/>
          <w:sz w:val="24"/>
          <w:szCs w:val="24"/>
        </w:rPr>
        <w:t>本条的评价方法为：预评价查阅相关设计文件；评价查阅相关竣工图、相关管理规定。</w:t>
      </w:r>
    </w:p>
    <w:p>
      <w:pPr>
        <w:spacing w:line="360" w:lineRule="auto"/>
        <w:rPr>
          <w:sz w:val="24"/>
          <w:szCs w:val="24"/>
        </w:rPr>
      </w:pPr>
      <w:r>
        <w:rPr>
          <w:rFonts w:hint="eastAsia"/>
          <w:b/>
          <w:sz w:val="24"/>
          <w:szCs w:val="24"/>
        </w:rPr>
        <w:t>4.1.8</w:t>
      </w:r>
      <w:r>
        <w:rPr>
          <w:rFonts w:hint="eastAsia"/>
          <w:sz w:val="24"/>
          <w:szCs w:val="24"/>
        </w:rPr>
        <w:t xml:space="preserve">  本条适用于各类民用建筑的预评价、评价。</w:t>
      </w:r>
    </w:p>
    <w:p>
      <w:pPr>
        <w:spacing w:line="360" w:lineRule="auto"/>
        <w:ind w:firstLine="480" w:firstLineChars="200"/>
        <w:jc w:val="left"/>
        <w:rPr>
          <w:sz w:val="24"/>
          <w:szCs w:val="24"/>
        </w:rPr>
      </w:pPr>
      <w:r>
        <w:rPr>
          <w:rFonts w:hint="eastAsia"/>
          <w:sz w:val="24"/>
          <w:szCs w:val="24"/>
        </w:rPr>
        <w:t>本条为新增条文。根据国家标准《安全标志及其使用导则》GB2894-2008,安全标志分为禁止标志、警告标志、指令标志和提示标志四类。本条所述是指具有警示和引导功能的安全标志，应在场地及建筑公共场所和其他有必要提醒人们注意安全的场所显著位置上设置。</w:t>
      </w:r>
    </w:p>
    <w:p>
      <w:pPr>
        <w:spacing w:line="360" w:lineRule="auto"/>
        <w:ind w:firstLine="480" w:firstLineChars="200"/>
        <w:jc w:val="left"/>
        <w:rPr>
          <w:sz w:val="24"/>
          <w:szCs w:val="24"/>
        </w:rPr>
      </w:pPr>
      <w:r>
        <w:rPr>
          <w:rFonts w:hint="eastAsia"/>
          <w:sz w:val="24"/>
          <w:szCs w:val="24"/>
        </w:rPr>
        <w:t>设置显著、醒目的安全警示标志，能够起到提醒建筑使用者注意安全的作用。警示标志一般设置于人员流动大的场所，青少年和儿童经常活动的场所，容易碰撞、夹伤、湿滑及危险的部位和场所等。比如禁止攀爬、禁止倚靠、禁止伸出窗外、禁止抛物、注意安全、当心碰头、当心夹手、当心车辆、当心坠落、当心滑倒、当心落水等。</w:t>
      </w:r>
    </w:p>
    <w:p>
      <w:pPr>
        <w:spacing w:line="360" w:lineRule="auto"/>
        <w:ind w:firstLine="480" w:firstLineChars="200"/>
        <w:jc w:val="left"/>
        <w:rPr>
          <w:sz w:val="24"/>
          <w:szCs w:val="24"/>
        </w:rPr>
      </w:pPr>
      <w:r>
        <w:rPr>
          <w:rFonts w:hint="eastAsia"/>
          <w:sz w:val="24"/>
          <w:szCs w:val="24"/>
        </w:rPr>
        <w:t>设置安全引导指示标志，包括紧急出口标志、避险处标志、应急避难场所标志、急救点标志、报警点标志等，以及其他促进建筑安全使用的引导标志等。比如紧急出口标志，一般设置于便于安全疏散的紧急出口处，结合方向箭头设置于通向紧急出口的通道、楼梯口等处。</w:t>
      </w:r>
    </w:p>
    <w:p>
      <w:pPr>
        <w:spacing w:line="360" w:lineRule="auto"/>
        <w:ind w:firstLine="480" w:firstLineChars="200"/>
        <w:jc w:val="left"/>
        <w:rPr>
          <w:rFonts w:hint="eastAsia"/>
          <w:sz w:val="24"/>
          <w:szCs w:val="24"/>
        </w:rPr>
      </w:pPr>
      <w:r>
        <w:rPr>
          <w:rFonts w:hint="eastAsia"/>
          <w:sz w:val="24"/>
          <w:szCs w:val="24"/>
        </w:rPr>
        <w:t>本条的评价方法为：预评价查阅标识系统设计与设置说明文件；评价查阅标识系统设计与设置说明文件、相关影像材料等。</w:t>
      </w:r>
    </w:p>
    <w:p>
      <w:pPr>
        <w:spacing w:line="360" w:lineRule="auto"/>
        <w:rPr>
          <w:sz w:val="24"/>
          <w:szCs w:val="24"/>
        </w:rPr>
      </w:pPr>
      <w:r>
        <w:rPr>
          <w:rFonts w:hint="eastAsia"/>
          <w:b/>
          <w:sz w:val="24"/>
          <w:szCs w:val="24"/>
        </w:rPr>
        <w:t>4.1.9</w:t>
      </w:r>
      <w:r>
        <w:rPr>
          <w:rFonts w:hint="eastAsia"/>
          <w:sz w:val="24"/>
          <w:szCs w:val="24"/>
        </w:rPr>
        <w:t xml:space="preserve">  本条适用于各类民用建筑的预评价、评价。</w:t>
      </w:r>
    </w:p>
    <w:p>
      <w:pPr>
        <w:spacing w:line="360" w:lineRule="auto"/>
        <w:ind w:firstLine="480" w:firstLineChars="200"/>
        <w:jc w:val="left"/>
        <w:rPr>
          <w:rFonts w:hint="eastAsia"/>
          <w:sz w:val="24"/>
          <w:szCs w:val="24"/>
        </w:rPr>
      </w:pPr>
      <w:r>
        <w:rPr>
          <w:sz w:val="24"/>
          <w:szCs w:val="24"/>
        </w:rPr>
        <w:t>本条沿用自国家标准《绿色建筑评价标准》GB/T 50378-2014 控制项第 7.1.1 条和本标准 201</w:t>
      </w:r>
      <w:r>
        <w:rPr>
          <w:rFonts w:hint="eastAsia"/>
          <w:sz w:val="24"/>
          <w:szCs w:val="24"/>
        </w:rPr>
        <w:t>6</w:t>
      </w:r>
      <w:r>
        <w:rPr>
          <w:sz w:val="24"/>
          <w:szCs w:val="24"/>
        </w:rPr>
        <w:t xml:space="preserve"> 版的控制项 7.1.1 条。一些建筑材料及制品在使用过程中不断暴露出问题，已被证明不适宜在建筑工程中应用，或者不适宜在某些地区的建筑中使用。绿色建筑中不应采用国家和当地有关主管部门向社会公布禁止和限制使用的建筑材料及制品。</w:t>
      </w:r>
    </w:p>
    <w:p>
      <w:pPr>
        <w:spacing w:line="360" w:lineRule="auto"/>
        <w:ind w:firstLine="480" w:firstLineChars="200"/>
        <w:jc w:val="left"/>
        <w:rPr>
          <w:sz w:val="24"/>
          <w:szCs w:val="24"/>
        </w:rPr>
      </w:pPr>
      <w:r>
        <w:rPr>
          <w:rFonts w:hint="eastAsia"/>
          <w:sz w:val="24"/>
          <w:szCs w:val="24"/>
        </w:rPr>
        <w:t>本条的评价方法为：预评价对照国家和当地有关主管部门向社会公布的限制、禁止使用的建材及制品目录，查阅设计说明和材料清单，审查是否采用了禁止和限制使用的建筑材料和制品；评价对照国家和当地有关主管部门向社会公布的限制、禁止使用的建材及制品目录，查阅工程材料决算材料清单，对实际采用的建筑材料进行核查。</w:t>
      </w:r>
    </w:p>
    <w:p>
      <w:pPr>
        <w:spacing w:line="360" w:lineRule="auto"/>
        <w:ind w:firstLine="480" w:firstLineChars="200"/>
        <w:jc w:val="left"/>
        <w:rPr>
          <w:rFonts w:hint="eastAsia"/>
          <w:sz w:val="24"/>
          <w:szCs w:val="24"/>
        </w:rPr>
      </w:pPr>
    </w:p>
    <w:p>
      <w:pPr>
        <w:spacing w:line="360" w:lineRule="auto"/>
        <w:ind w:firstLine="480" w:firstLineChars="200"/>
        <w:jc w:val="left"/>
        <w:rPr>
          <w:sz w:val="24"/>
          <w:szCs w:val="24"/>
        </w:rPr>
      </w:pPr>
    </w:p>
    <w:p>
      <w:pPr>
        <w:pStyle w:val="18"/>
        <w:spacing w:beforeLines="0" w:line="360" w:lineRule="auto"/>
        <w:ind w:firstLine="0" w:firstLineChars="0"/>
      </w:pPr>
      <w:bookmarkStart w:id="133" w:name="_Toc24543015"/>
      <w:r>
        <w:rPr>
          <w:rFonts w:hint="eastAsia"/>
        </w:rPr>
        <w:t>4.2  评 分 项</w:t>
      </w:r>
      <w:bookmarkEnd w:id="133"/>
    </w:p>
    <w:p>
      <w:pPr>
        <w:spacing w:line="360" w:lineRule="auto"/>
        <w:ind w:firstLine="560" w:firstLineChars="200"/>
        <w:jc w:val="center"/>
        <w:rPr>
          <w:rFonts w:eastAsia="仿宋"/>
          <w:sz w:val="28"/>
          <w:szCs w:val="28"/>
        </w:rPr>
      </w:pPr>
      <w:r>
        <w:rPr>
          <w:rFonts w:hint="eastAsia" w:eastAsia="仿宋"/>
          <w:sz w:val="28"/>
          <w:szCs w:val="28"/>
        </w:rPr>
        <w:t>I 安全</w:t>
      </w:r>
    </w:p>
    <w:p>
      <w:pPr>
        <w:spacing w:line="360" w:lineRule="auto"/>
        <w:rPr>
          <w:sz w:val="24"/>
          <w:szCs w:val="24"/>
        </w:rPr>
      </w:pPr>
      <w:r>
        <w:rPr>
          <w:rFonts w:hint="eastAsia"/>
          <w:b/>
          <w:sz w:val="24"/>
          <w:szCs w:val="24"/>
        </w:rPr>
        <w:t xml:space="preserve">4.2.1  </w:t>
      </w:r>
      <w:r>
        <w:rPr>
          <w:rFonts w:hint="eastAsia"/>
          <w:sz w:val="24"/>
          <w:szCs w:val="24"/>
        </w:rPr>
        <w:t>本条适用于各类民用建筑的预评价、评价。</w:t>
      </w:r>
    </w:p>
    <w:p>
      <w:pPr>
        <w:spacing w:line="360" w:lineRule="auto"/>
        <w:ind w:firstLine="480" w:firstLineChars="200"/>
        <w:jc w:val="left"/>
        <w:rPr>
          <w:sz w:val="24"/>
          <w:szCs w:val="24"/>
        </w:rPr>
      </w:pPr>
      <w:r>
        <w:rPr>
          <w:rFonts w:hint="eastAsia"/>
          <w:sz w:val="24"/>
          <w:szCs w:val="24"/>
        </w:rPr>
        <w:t>本条为新增条文。采用基于性能的抗震设计并适当提高建筑的抗震性能指标要求，如采用“中震不屈服”以上的性能目标，或者为满足使用功能而提出比现行标准要求更高的刚度要求等，可以提高建筑的抗震安全性及功能性；采用隔震、消能减震设计，是提高建筑物的设防类别或提高其抗震性能要求时的有效手段。</w:t>
      </w:r>
    </w:p>
    <w:p>
      <w:pPr>
        <w:spacing w:line="360" w:lineRule="auto"/>
        <w:ind w:firstLine="480" w:firstLineChars="200"/>
        <w:jc w:val="left"/>
        <w:rPr>
          <w:sz w:val="24"/>
          <w:szCs w:val="24"/>
        </w:rPr>
      </w:pPr>
      <w:r>
        <w:rPr>
          <w:rFonts w:hint="eastAsia"/>
          <w:sz w:val="24"/>
          <w:szCs w:val="24"/>
        </w:rPr>
        <w:t>本条的评价方法为：预评价查阅相关设计文件、结构计算文件；评价查阅相关竣工图、结构计算文件、项目安全分析报告及应对措施结果。</w:t>
      </w:r>
    </w:p>
    <w:p>
      <w:pPr>
        <w:spacing w:line="360" w:lineRule="auto"/>
        <w:rPr>
          <w:sz w:val="24"/>
          <w:szCs w:val="24"/>
        </w:rPr>
      </w:pPr>
      <w:r>
        <w:rPr>
          <w:rFonts w:hint="eastAsia"/>
          <w:b/>
          <w:sz w:val="24"/>
          <w:szCs w:val="24"/>
        </w:rPr>
        <w:t>4.2.2</w:t>
      </w:r>
      <w:r>
        <w:rPr>
          <w:rFonts w:hint="eastAsia"/>
          <w:sz w:val="24"/>
          <w:szCs w:val="24"/>
        </w:rPr>
        <w:t xml:space="preserve">  本条适用于各类民用建筑的预评价、评价。</w:t>
      </w:r>
    </w:p>
    <w:p>
      <w:pPr>
        <w:spacing w:line="360" w:lineRule="auto"/>
        <w:ind w:firstLine="480" w:firstLineChars="200"/>
        <w:jc w:val="left"/>
        <w:rPr>
          <w:sz w:val="24"/>
          <w:szCs w:val="24"/>
        </w:rPr>
      </w:pPr>
      <w:r>
        <w:rPr>
          <w:rFonts w:hint="eastAsia"/>
          <w:sz w:val="24"/>
          <w:szCs w:val="24"/>
        </w:rPr>
        <w:t>本条为新增条文。</w:t>
      </w:r>
    </w:p>
    <w:p>
      <w:pPr>
        <w:spacing w:line="360" w:lineRule="auto"/>
        <w:ind w:firstLine="480" w:firstLineChars="200"/>
        <w:jc w:val="left"/>
        <w:rPr>
          <w:sz w:val="24"/>
          <w:szCs w:val="24"/>
        </w:rPr>
      </w:pPr>
      <w:r>
        <w:rPr>
          <w:rFonts w:hint="eastAsia"/>
          <w:sz w:val="24"/>
          <w:szCs w:val="24"/>
        </w:rPr>
        <w:t>第1款，阳台、外窗、窗台、防护栏杆等强化防坠设计有利于降低坠物伤人风险，阳台外窗采用高窗设计、限制窗扇开启角度、窗台与绿化种植整合设计、适度减少防护栏杆垂直杆件水平净距、安装隐形防盗网等措施，防止物品坠落伤人。此外，外窗的安全防护可与纱窗等相结合，既可以防坠物伤人，还可以防蚊防盗。</w:t>
      </w:r>
    </w:p>
    <w:p>
      <w:pPr>
        <w:spacing w:line="360" w:lineRule="auto"/>
        <w:ind w:firstLine="480" w:firstLineChars="200"/>
        <w:jc w:val="left"/>
        <w:rPr>
          <w:sz w:val="24"/>
          <w:szCs w:val="24"/>
        </w:rPr>
      </w:pPr>
      <w:r>
        <w:rPr>
          <w:rFonts w:hint="eastAsia"/>
          <w:sz w:val="24"/>
          <w:szCs w:val="24"/>
        </w:rPr>
        <w:t>第2、3款，外墙饰面、外墙粉刷及保温层等掉落伤人的现象在国内各个城市都有发生，甚至尚未住人的新建小区也出现瓷砖大面积掉落现象。在建筑间距和通路设计时，除了考虑消防、采光、通风、日照间距等，还需考虑采取避免坠物伤人的措施。由于建筑物外墙钢筋混凝土、填充墙体、水泥砂浆、外贴保温、外墙饰面层及门窗等的热胀冷缩系数不同，建筑设计时虽然采取设墙面变形缝的措施，但受环境温度、湿度及施工质量的影响，各种材料会发生不同程度的变形，材料连接界面破坏，出现外墙空鼓，最后导致坠落影响人民生命与财产安全。因此，要求建筑物出入口均设外墙饰面、门窗玻璃意外脱落的防护措施，并与人员通行区域的遮阳、遮风或挡雨措施结合，同时采取建立护栏、缓冲区、隔离带等安全措施，消除安全隐患。</w:t>
      </w:r>
    </w:p>
    <w:p>
      <w:pPr>
        <w:spacing w:line="360" w:lineRule="auto"/>
        <w:ind w:firstLine="480" w:firstLineChars="200"/>
        <w:jc w:val="left"/>
        <w:rPr>
          <w:sz w:val="24"/>
          <w:szCs w:val="24"/>
        </w:rPr>
      </w:pPr>
      <w:r>
        <w:rPr>
          <w:rFonts w:hint="eastAsia"/>
          <w:sz w:val="24"/>
          <w:szCs w:val="24"/>
        </w:rPr>
        <w:t>本条的评价方法为：预评价查阅相关设计文件等；评价查阅相关竣工图。</w:t>
      </w:r>
    </w:p>
    <w:p>
      <w:pPr>
        <w:spacing w:line="360" w:lineRule="auto"/>
        <w:rPr>
          <w:sz w:val="24"/>
          <w:szCs w:val="24"/>
        </w:rPr>
      </w:pPr>
      <w:r>
        <w:rPr>
          <w:rFonts w:hint="eastAsia"/>
          <w:b/>
          <w:sz w:val="24"/>
          <w:szCs w:val="24"/>
        </w:rPr>
        <w:t xml:space="preserve">4.2.3  </w:t>
      </w:r>
      <w:r>
        <w:rPr>
          <w:rFonts w:hint="eastAsia"/>
          <w:sz w:val="24"/>
          <w:szCs w:val="24"/>
        </w:rPr>
        <w:t>本条适用于各类民用建筑的预评价、评价。</w:t>
      </w:r>
    </w:p>
    <w:p>
      <w:pPr>
        <w:spacing w:line="360" w:lineRule="auto"/>
        <w:ind w:firstLine="480" w:firstLineChars="200"/>
        <w:jc w:val="left"/>
        <w:rPr>
          <w:sz w:val="24"/>
          <w:szCs w:val="24"/>
        </w:rPr>
      </w:pPr>
      <w:r>
        <w:rPr>
          <w:rFonts w:hint="eastAsia"/>
          <w:sz w:val="24"/>
          <w:szCs w:val="24"/>
        </w:rPr>
        <w:t>本条为新增条文。</w:t>
      </w:r>
    </w:p>
    <w:p>
      <w:pPr>
        <w:spacing w:line="360" w:lineRule="auto"/>
        <w:ind w:firstLine="480" w:firstLineChars="200"/>
        <w:jc w:val="left"/>
        <w:rPr>
          <w:sz w:val="24"/>
          <w:szCs w:val="24"/>
        </w:rPr>
      </w:pPr>
      <w:r>
        <w:rPr>
          <w:rFonts w:hint="eastAsia"/>
          <w:sz w:val="24"/>
          <w:szCs w:val="24"/>
        </w:rPr>
        <w:t>第1款，参考国家现行标准《建筑用安全玻璃》GB15763、《建筑玻璃应用技术规程》JGJ113的有关规定以及《建筑安全玻璃管理规定》（发改运行[2003]2116号）对建筑用安全玻璃使用的建议，人体撞击建筑中的玻璃制品并受到伤害的主要原因是缺少足够的安全防护。为了尽量减少建筑用玻璃制品在受到冲击时对人体造成划伤、割伤等，在建筑中使用玻璃制品时需尽可能地采取下列措施：</w:t>
      </w:r>
    </w:p>
    <w:p>
      <w:pPr>
        <w:spacing w:line="360" w:lineRule="auto"/>
        <w:ind w:left="780" w:leftChars="200" w:hanging="360" w:hangingChars="150"/>
        <w:jc w:val="left"/>
        <w:rPr>
          <w:sz w:val="24"/>
          <w:szCs w:val="24"/>
        </w:rPr>
      </w:pPr>
      <w:r>
        <w:rPr>
          <w:rFonts w:hint="eastAsia"/>
          <w:sz w:val="24"/>
          <w:szCs w:val="24"/>
        </w:rPr>
        <w:t>1) 选择安全玻璃制品时，充分考虑玻璃的种类、结构、厚度、尺寸，尤其是合理选择安全玻璃制品散弹袋冲击试验的冲击历程和冲击高度级别等；</w:t>
      </w:r>
    </w:p>
    <w:p>
      <w:pPr>
        <w:spacing w:line="360" w:lineRule="auto"/>
        <w:ind w:firstLine="480" w:firstLineChars="200"/>
        <w:jc w:val="left"/>
        <w:rPr>
          <w:sz w:val="24"/>
          <w:szCs w:val="24"/>
        </w:rPr>
      </w:pPr>
      <w:r>
        <w:rPr>
          <w:rFonts w:hint="eastAsia"/>
          <w:sz w:val="24"/>
          <w:szCs w:val="24"/>
        </w:rPr>
        <w:t>2) 对关键场所的安全玻璃制品采取必要的其他防护；</w:t>
      </w:r>
    </w:p>
    <w:p>
      <w:pPr>
        <w:spacing w:line="360" w:lineRule="auto"/>
        <w:ind w:firstLine="480" w:firstLineChars="200"/>
        <w:jc w:val="left"/>
        <w:rPr>
          <w:sz w:val="24"/>
          <w:szCs w:val="24"/>
        </w:rPr>
      </w:pPr>
      <w:r>
        <w:rPr>
          <w:rFonts w:hint="eastAsia"/>
          <w:sz w:val="24"/>
          <w:szCs w:val="24"/>
        </w:rPr>
        <w:t>3) 关键场所的安全玻璃制品设置容易识别的标识。</w:t>
      </w:r>
    </w:p>
    <w:p>
      <w:pPr>
        <w:spacing w:line="360" w:lineRule="auto"/>
        <w:ind w:firstLine="480" w:firstLineChars="200"/>
        <w:jc w:val="left"/>
        <w:rPr>
          <w:sz w:val="24"/>
          <w:szCs w:val="24"/>
        </w:rPr>
      </w:pPr>
      <w:r>
        <w:rPr>
          <w:rFonts w:hint="eastAsia"/>
          <w:sz w:val="24"/>
          <w:szCs w:val="24"/>
        </w:rPr>
        <w:t>本款所述包括分隔建筑室内外的玻璃门窗、幕墙、防护栏杆等采用安全玻璃，室内玻璃隔断、玻璃护栏等采用夹胶钢化玻璃以防止自爆伤人。</w:t>
      </w:r>
    </w:p>
    <w:p>
      <w:pPr>
        <w:spacing w:line="360" w:lineRule="auto"/>
        <w:ind w:firstLine="480" w:firstLineChars="200"/>
        <w:jc w:val="left"/>
        <w:rPr>
          <w:sz w:val="24"/>
          <w:szCs w:val="24"/>
        </w:rPr>
      </w:pPr>
      <w:r>
        <w:rPr>
          <w:rFonts w:hint="eastAsia"/>
          <w:sz w:val="24"/>
          <w:szCs w:val="24"/>
        </w:rPr>
        <w:t>第2款，生活中常见的自动门窗、推拉门、旋转门等夹人事故频频发生，尤其是对于缺乏自我保护能力的孩子来说更为危险。因此，对于人流量大、门窗开合频繁的位置，可采用可调力度的闭门器或具有缓冲功能的延时闭门器等措施，防止夹人伤人事故的发生。</w:t>
      </w:r>
    </w:p>
    <w:p>
      <w:pPr>
        <w:spacing w:line="360" w:lineRule="auto"/>
        <w:ind w:firstLine="480" w:firstLineChars="200"/>
        <w:jc w:val="left"/>
        <w:rPr>
          <w:sz w:val="24"/>
          <w:szCs w:val="24"/>
        </w:rPr>
      </w:pPr>
      <w:r>
        <w:rPr>
          <w:rFonts w:hint="eastAsia"/>
          <w:sz w:val="24"/>
          <w:szCs w:val="24"/>
        </w:rPr>
        <w:t>本条的评价方法为：预评价查阅相关设计文件等；评价查阅相关竣工图、安全玻璃及门窗检测检验报告。</w:t>
      </w:r>
    </w:p>
    <w:p>
      <w:pPr>
        <w:spacing w:line="360" w:lineRule="auto"/>
        <w:rPr>
          <w:sz w:val="24"/>
          <w:szCs w:val="24"/>
        </w:rPr>
      </w:pPr>
      <w:r>
        <w:rPr>
          <w:rFonts w:hint="eastAsia"/>
          <w:b/>
          <w:sz w:val="24"/>
          <w:szCs w:val="24"/>
        </w:rPr>
        <w:t xml:space="preserve">4.2.4 </w:t>
      </w:r>
      <w:r>
        <w:rPr>
          <w:rFonts w:hint="eastAsia"/>
          <w:sz w:val="24"/>
          <w:szCs w:val="24"/>
        </w:rPr>
        <w:t xml:space="preserve"> 本条适用于各类民用建筑的预评价、评价。</w:t>
      </w:r>
    </w:p>
    <w:p>
      <w:pPr>
        <w:spacing w:line="360" w:lineRule="auto"/>
        <w:ind w:firstLine="480" w:firstLineChars="200"/>
        <w:jc w:val="left"/>
        <w:rPr>
          <w:sz w:val="24"/>
          <w:szCs w:val="24"/>
        </w:rPr>
      </w:pPr>
      <w:r>
        <w:rPr>
          <w:rFonts w:hint="eastAsia"/>
          <w:sz w:val="24"/>
          <w:szCs w:val="24"/>
        </w:rPr>
        <w:t>本条为新增条文。建筑防滑地面工程对于保证人身安全至关重要。光亮、光滑的室内地面，因雨雪天气造成的室外湿滑地面和浴室、厕所等湿滑地面极易导致伤害事故。按现行行业标准《建筑地面工程防滑技术规程》JGJ/T331的规定，Aw、Bw、Cw、Dw分别表示潮湿地面防滑安全程度为高级、中高级、中级、低级，Ad、Bd、Cd、Dd分别表示干态地面防滑安全程度为高级、中高级、中级、低级。</w:t>
      </w:r>
    </w:p>
    <w:p>
      <w:pPr>
        <w:spacing w:line="360" w:lineRule="auto"/>
        <w:ind w:firstLine="480" w:firstLineChars="200"/>
        <w:jc w:val="left"/>
        <w:rPr>
          <w:sz w:val="24"/>
          <w:szCs w:val="24"/>
        </w:rPr>
      </w:pPr>
      <w:r>
        <w:rPr>
          <w:rFonts w:hint="eastAsia"/>
          <w:sz w:val="24"/>
          <w:szCs w:val="24"/>
        </w:rPr>
        <w:t>本条的评价方法为：预评价查阅相关设计文件；评价查阅相关竣工图、防滑材料有关测试报告。</w:t>
      </w:r>
    </w:p>
    <w:p>
      <w:pPr>
        <w:spacing w:line="360" w:lineRule="auto"/>
        <w:rPr>
          <w:sz w:val="24"/>
          <w:szCs w:val="24"/>
        </w:rPr>
      </w:pPr>
      <w:r>
        <w:rPr>
          <w:rFonts w:hint="eastAsia"/>
          <w:b/>
          <w:sz w:val="24"/>
          <w:szCs w:val="24"/>
        </w:rPr>
        <w:t xml:space="preserve">4.2.5 </w:t>
      </w:r>
      <w:r>
        <w:rPr>
          <w:rFonts w:hint="eastAsia"/>
          <w:sz w:val="24"/>
          <w:szCs w:val="24"/>
        </w:rPr>
        <w:t xml:space="preserve"> 本条适用于各类民用建筑的预评价、评价。</w:t>
      </w:r>
    </w:p>
    <w:p>
      <w:pPr>
        <w:spacing w:line="360" w:lineRule="auto"/>
        <w:ind w:firstLine="480" w:firstLineChars="200"/>
        <w:jc w:val="left"/>
        <w:rPr>
          <w:sz w:val="24"/>
          <w:szCs w:val="24"/>
        </w:rPr>
      </w:pPr>
      <w:r>
        <w:rPr>
          <w:rFonts w:hint="eastAsia"/>
          <w:sz w:val="24"/>
          <w:szCs w:val="24"/>
        </w:rPr>
        <w:t>本条为新增条文。随着城镇汽车保有量大幅提升，交通压力与日俱增。建筑场地内的交通状况直接关系着使用者的人身安全。人车分流将行人和机动车完全分离开，互不干扰，可避免人车争路的情况，充分保障行人尤其是老人和儿童的安全。提供完善的人行道路网络可鼓励公众步行，也是建立以行人为本的城市的先决条件。</w:t>
      </w:r>
    </w:p>
    <w:p>
      <w:pPr>
        <w:spacing w:line="360" w:lineRule="auto"/>
        <w:ind w:firstLine="480" w:firstLineChars="200"/>
        <w:jc w:val="left"/>
        <w:rPr>
          <w:sz w:val="24"/>
          <w:szCs w:val="24"/>
        </w:rPr>
      </w:pPr>
      <w:r>
        <w:rPr>
          <w:rFonts w:hint="eastAsia"/>
          <w:sz w:val="24"/>
          <w:szCs w:val="24"/>
        </w:rPr>
        <w:t>步行和自行车交通系统如果照明不足，往往会导致人们产生不安全感，特别是在空旷或比较空旷的公共区域。充足的照明可以消除不安全感，对降低犯罪率、防止发生交通事故、提高夜间行人的安全性有重要作用。</w:t>
      </w:r>
    </w:p>
    <w:p>
      <w:pPr>
        <w:spacing w:line="360" w:lineRule="auto"/>
        <w:ind w:firstLine="480" w:firstLineChars="200"/>
        <w:jc w:val="left"/>
        <w:rPr>
          <w:sz w:val="24"/>
          <w:szCs w:val="24"/>
        </w:rPr>
      </w:pPr>
      <w:r>
        <w:rPr>
          <w:rFonts w:hint="eastAsia"/>
          <w:sz w:val="24"/>
          <w:szCs w:val="24"/>
        </w:rPr>
        <w:t>夜间行人的不安全感和实际存在的危险与道路等行人设施的照度水平和照明质量密切相关。步行和自行车交通系统照明应以路面平均照度、路面最小照度和垂直照度为评价指标，其照明标准值应不低于现行行业标准《城市道路照明设计标准》CJJ45的有关要求。</w:t>
      </w:r>
    </w:p>
    <w:p>
      <w:pPr>
        <w:spacing w:line="360" w:lineRule="auto"/>
        <w:ind w:firstLine="480" w:firstLineChars="200"/>
        <w:jc w:val="left"/>
        <w:rPr>
          <w:sz w:val="24"/>
          <w:szCs w:val="24"/>
        </w:rPr>
      </w:pPr>
      <w:r>
        <w:rPr>
          <w:rFonts w:hint="eastAsia"/>
          <w:sz w:val="24"/>
          <w:szCs w:val="24"/>
        </w:rPr>
        <w:t>本条的评价方法为：预评价查阅照明设计文件、人车分流专项设计文件；评价查阅相关竣工图。</w:t>
      </w:r>
    </w:p>
    <w:p>
      <w:pPr>
        <w:spacing w:line="360" w:lineRule="auto"/>
        <w:ind w:firstLine="480" w:firstLineChars="200"/>
        <w:jc w:val="left"/>
        <w:rPr>
          <w:sz w:val="24"/>
          <w:szCs w:val="24"/>
        </w:rPr>
      </w:pPr>
    </w:p>
    <w:p>
      <w:pPr>
        <w:spacing w:line="360" w:lineRule="auto"/>
        <w:ind w:firstLine="560" w:firstLineChars="200"/>
        <w:jc w:val="center"/>
        <w:rPr>
          <w:rFonts w:eastAsia="仿宋"/>
          <w:sz w:val="28"/>
          <w:szCs w:val="28"/>
        </w:rPr>
      </w:pPr>
      <w:r>
        <w:rPr>
          <w:rFonts w:hint="eastAsia" w:eastAsia="仿宋"/>
          <w:sz w:val="28"/>
          <w:szCs w:val="28"/>
        </w:rPr>
        <w:t>II 耐久</w:t>
      </w:r>
    </w:p>
    <w:p>
      <w:pPr>
        <w:spacing w:line="360" w:lineRule="auto"/>
        <w:rPr>
          <w:sz w:val="24"/>
          <w:szCs w:val="24"/>
        </w:rPr>
      </w:pPr>
      <w:r>
        <w:rPr>
          <w:rFonts w:hint="eastAsia"/>
          <w:b/>
          <w:sz w:val="24"/>
          <w:szCs w:val="24"/>
        </w:rPr>
        <w:t xml:space="preserve">4.2.6  </w:t>
      </w:r>
      <w:r>
        <w:rPr>
          <w:rFonts w:hint="eastAsia"/>
          <w:sz w:val="24"/>
          <w:szCs w:val="24"/>
        </w:rPr>
        <w:t>本条适用于各类民用建筑的预评价、评价。</w:t>
      </w:r>
    </w:p>
    <w:p>
      <w:pPr>
        <w:spacing w:line="360" w:lineRule="auto"/>
        <w:ind w:firstLine="480" w:firstLineChars="200"/>
        <w:jc w:val="left"/>
        <w:rPr>
          <w:sz w:val="24"/>
          <w:szCs w:val="24"/>
        </w:rPr>
      </w:pPr>
      <w:r>
        <w:rPr>
          <w:rFonts w:hint="eastAsia"/>
          <w:sz w:val="24"/>
          <w:szCs w:val="24"/>
        </w:rPr>
        <w:t>本条在本标准2016年版第7.2.4条基础上发展而来。</w:t>
      </w:r>
    </w:p>
    <w:p>
      <w:pPr>
        <w:spacing w:line="360" w:lineRule="auto"/>
        <w:ind w:firstLine="480" w:firstLineChars="200"/>
        <w:jc w:val="left"/>
        <w:rPr>
          <w:sz w:val="24"/>
          <w:szCs w:val="24"/>
        </w:rPr>
      </w:pPr>
      <w:r>
        <w:rPr>
          <w:rFonts w:hint="eastAsia"/>
          <w:sz w:val="24"/>
          <w:szCs w:val="24"/>
        </w:rPr>
        <w:t>第1款，随着社会和技术的进步，以及人们对建筑的需求不断提升，若建筑不能满足使用需求的变化，很大可能将以被改造或拆除告终，成为“短命”建筑。本款旨在鼓励采取措施提升建筑适变性，有利于使用空间功能转换和改造再利用，避免建筑“短命”。建筑适变性包括建筑的适应性和可变性。适应性是指使用功能和空间的变化潜力，可变性是指结构和空间上的形态变化。通过利用建筑空间和结构潜力，使建筑空间和功能适应使用者需求的变化，在适应当前需求的同时，使建筑具有更大的弹性以应对变化，以此获得更长的使用寿命。如采用大开间和进深结构方案、灵活布置内隔墙等措施提升建筑适变性，减少室内空间重新布置时对建筑构件的破坏，延长建筑使用寿命。</w:t>
      </w:r>
    </w:p>
    <w:p>
      <w:pPr>
        <w:spacing w:line="360" w:lineRule="auto"/>
        <w:ind w:firstLine="480" w:firstLineChars="200"/>
        <w:jc w:val="left"/>
        <w:rPr>
          <w:rFonts w:hint="eastAsia"/>
          <w:sz w:val="24"/>
          <w:szCs w:val="24"/>
        </w:rPr>
      </w:pPr>
      <w:r>
        <w:rPr>
          <w:rFonts w:hint="eastAsia"/>
          <w:sz w:val="24"/>
          <w:szCs w:val="24"/>
        </w:rPr>
        <w:t>第2款，根据现行行业标准《装配式住宅建筑设计标准》JGJ/T398的规定，管线分离是指建筑结构体中不埋设设备及管线，将设备及管线与建筑结构体相分离的方式。管线与结构、墙体的寿命不同，给建筑全寿命期的使用和维护带来了很大的困难。建筑结构与设备管线分离设计，可有利于建筑的长寿化。建筑结构不仅仅指建筑主体结构，还包括外围护结构和公共管井等可保持长久不变的部分。建筑结构与设备管线分离设计便于设备管线维护更新，可保证建筑能够较为便捷地进行管线改造与更换，从而达到延长建筑使用寿命目的。装配式建筑采用SI体系，即支撑体S(Skeleton)和填充体I(Infill)相分离的建筑体系，可认为实现了建筑主体结构与建筑设备管线分离。</w:t>
      </w:r>
    </w:p>
    <w:p>
      <w:pPr>
        <w:spacing w:line="360" w:lineRule="auto"/>
        <w:ind w:firstLine="480" w:firstLineChars="200"/>
        <w:jc w:val="left"/>
        <w:rPr>
          <w:rFonts w:hint="eastAsia"/>
          <w:sz w:val="24"/>
          <w:szCs w:val="24"/>
        </w:rPr>
      </w:pPr>
      <w:r>
        <w:rPr>
          <w:rFonts w:hint="eastAsia"/>
          <w:sz w:val="24"/>
          <w:szCs w:val="24"/>
        </w:rPr>
        <w:t>除了采用SI体系的装配式建筑可认定实现了建筑主体结构与建筑设备管线分离之外，其他可采用的技术措施包括：</w:t>
      </w:r>
    </w:p>
    <w:p>
      <w:pPr>
        <w:spacing w:line="360" w:lineRule="auto"/>
        <w:ind w:firstLine="480" w:firstLineChars="200"/>
        <w:jc w:val="left"/>
        <w:rPr>
          <w:rFonts w:hint="eastAsia"/>
          <w:sz w:val="24"/>
          <w:szCs w:val="24"/>
        </w:rPr>
      </w:pPr>
      <w:r>
        <w:rPr>
          <w:rFonts w:hint="eastAsia"/>
          <w:sz w:val="24"/>
          <w:szCs w:val="24"/>
        </w:rPr>
        <w:t>（1）墙体与管线分离，或采用轻质隔墙、双层贴面墙；双层贴面墙的墙内侧设装饰壁板，架空空间用来安装铺设电气管线，开关，插座使用；对外墙架空空间可同时整合内保温工艺；得2分。</w:t>
      </w:r>
    </w:p>
    <w:p>
      <w:pPr>
        <w:spacing w:line="360" w:lineRule="auto"/>
        <w:ind w:firstLine="480" w:firstLineChars="200"/>
        <w:jc w:val="left"/>
        <w:rPr>
          <w:rFonts w:hint="eastAsia"/>
          <w:sz w:val="24"/>
          <w:szCs w:val="24"/>
        </w:rPr>
      </w:pPr>
      <w:r>
        <w:rPr>
          <w:rFonts w:hint="eastAsia"/>
          <w:sz w:val="24"/>
          <w:szCs w:val="24"/>
        </w:rPr>
        <w:t>（2）设公共管井，集中布置设备主管线；卫生间架空地面上设同层排水，设双层天棚等，可方便铺设设备管线；得2分。</w:t>
      </w:r>
    </w:p>
    <w:p>
      <w:pPr>
        <w:spacing w:line="360" w:lineRule="auto"/>
        <w:ind w:firstLine="480" w:firstLineChars="200"/>
        <w:jc w:val="left"/>
        <w:rPr>
          <w:rFonts w:hint="eastAsia"/>
          <w:sz w:val="24"/>
          <w:szCs w:val="24"/>
        </w:rPr>
      </w:pPr>
      <w:r>
        <w:rPr>
          <w:rFonts w:hint="eastAsia"/>
          <w:sz w:val="24"/>
          <w:szCs w:val="24"/>
        </w:rPr>
        <w:t>（3）室内地板下面采用次级结构支撑，或者卫生间设架空地面上设同层排水，或者室内设双层天棚等措施，方便设备管线的铺设。对公共建筑，也可直接在结构天棚下合理布置管线，采用明装方式；得3分。</w:t>
      </w:r>
    </w:p>
    <w:p>
      <w:pPr>
        <w:spacing w:line="360" w:lineRule="auto"/>
        <w:ind w:firstLine="480" w:firstLineChars="200"/>
        <w:jc w:val="left"/>
        <w:rPr>
          <w:sz w:val="24"/>
          <w:szCs w:val="24"/>
        </w:rPr>
      </w:pPr>
      <w:r>
        <w:rPr>
          <w:rFonts w:hint="eastAsia"/>
          <w:sz w:val="24"/>
          <w:szCs w:val="24"/>
        </w:rPr>
        <w:t>第3款，指能够与第1款中建筑功能或空间变化相适应的设备设施布置方式或控制方式，既能够提升室内空间的弹性利用，也能够提高建筑使用时的灵活度。比如家具、电器与隔墙相结合，满足不同分隔空间的使用需求；或采用智能控制手段，实现设备设施的升降、移动、隐藏等功能，满足某一空间的多样化使用需求；还可以采用可拆分构件或模块化布置方式，实现同一构件在不同需求下的功能互换，或同一构件在不同空间的功能复制。</w:t>
      </w:r>
    </w:p>
    <w:p>
      <w:pPr>
        <w:spacing w:line="360" w:lineRule="auto"/>
        <w:ind w:firstLine="480" w:firstLineChars="200"/>
        <w:jc w:val="left"/>
        <w:rPr>
          <w:sz w:val="24"/>
          <w:szCs w:val="24"/>
        </w:rPr>
      </w:pPr>
      <w:r>
        <w:rPr>
          <w:rFonts w:hint="eastAsia"/>
          <w:sz w:val="24"/>
          <w:szCs w:val="24"/>
        </w:rPr>
        <w:t>本条的评价方法为：预评价查阅相关设计文件、建筑适变性提升措施的设计说明、结构计算书；评价阶段查阅相关竣工图、建筑适变性提升措施的设计说明、结构计算书。</w:t>
      </w:r>
    </w:p>
    <w:p>
      <w:pPr>
        <w:spacing w:line="360" w:lineRule="auto"/>
        <w:rPr>
          <w:sz w:val="24"/>
          <w:szCs w:val="24"/>
        </w:rPr>
      </w:pPr>
      <w:r>
        <w:rPr>
          <w:rFonts w:hint="eastAsia"/>
          <w:b/>
          <w:sz w:val="24"/>
          <w:szCs w:val="24"/>
        </w:rPr>
        <w:t xml:space="preserve">4.2.7  </w:t>
      </w:r>
      <w:r>
        <w:rPr>
          <w:rFonts w:hint="eastAsia"/>
          <w:sz w:val="24"/>
          <w:szCs w:val="24"/>
        </w:rPr>
        <w:t>本条适用于各类民用建筑的预评价、评价。</w:t>
      </w:r>
    </w:p>
    <w:p>
      <w:pPr>
        <w:pStyle w:val="4"/>
        <w:snapToGrid w:val="0"/>
        <w:spacing w:before="47" w:line="360" w:lineRule="auto"/>
        <w:ind w:firstLine="480" w:firstLineChars="200"/>
        <w:jc w:val="left"/>
        <w:rPr>
          <w:rFonts w:ascii="Times New Roman" w:hAnsi="Times New Roman"/>
          <w:snapToGrid w:val="0"/>
          <w:sz w:val="24"/>
          <w:szCs w:val="24"/>
        </w:rPr>
      </w:pPr>
      <w:r>
        <w:rPr>
          <w:rFonts w:hint="eastAsia" w:ascii="Times New Roman" w:hAnsi="Times New Roman"/>
          <w:sz w:val="24"/>
          <w:szCs w:val="24"/>
        </w:rPr>
        <w:t>本条在本标准2016年版第6.2.2条基础上发展而来。活动配件指建筑的各种五金配件、管道阀门、开关龙头等，考虑选用长寿命的优质产品，且构造上易于更换。同时还应考虑为维护、更换操作提供方便条件。部分常见的耐腐蚀、抗老化、耐久性能好的部品部件见表1。其中要求电气</w:t>
      </w:r>
      <w:r>
        <w:rPr>
          <w:rFonts w:ascii="Times New Roman" w:hAnsi="Times New Roman"/>
          <w:sz w:val="24"/>
          <w:szCs w:val="24"/>
        </w:rPr>
        <w:t>系统采用低烟</w:t>
      </w:r>
      <w:r>
        <w:rPr>
          <w:rFonts w:hint="eastAsia" w:ascii="Times New Roman" w:hAnsi="Times New Roman"/>
          <w:sz w:val="24"/>
          <w:szCs w:val="24"/>
        </w:rPr>
        <w:t>无毒</w:t>
      </w:r>
      <w:r>
        <w:rPr>
          <w:rFonts w:ascii="Times New Roman" w:hAnsi="Times New Roman"/>
          <w:sz w:val="24"/>
          <w:szCs w:val="24"/>
        </w:rPr>
        <w:t>阻燃</w:t>
      </w:r>
      <w:r>
        <w:rPr>
          <w:rFonts w:hint="eastAsia" w:ascii="Times New Roman" w:hAnsi="Times New Roman"/>
          <w:sz w:val="24"/>
          <w:szCs w:val="24"/>
        </w:rPr>
        <w:t>型线缆</w:t>
      </w:r>
      <w:r>
        <w:rPr>
          <w:rFonts w:ascii="Times New Roman" w:hAnsi="Times New Roman"/>
          <w:sz w:val="24"/>
          <w:szCs w:val="24"/>
        </w:rPr>
        <w:t>，对于住宅</w:t>
      </w:r>
      <w:r>
        <w:rPr>
          <w:rFonts w:hint="eastAsia" w:ascii="Times New Roman" w:hAnsi="Times New Roman"/>
          <w:sz w:val="24"/>
          <w:szCs w:val="24"/>
        </w:rPr>
        <w:t>建筑</w:t>
      </w:r>
      <w:r>
        <w:rPr>
          <w:rFonts w:ascii="Times New Roman" w:hAnsi="Times New Roman"/>
          <w:sz w:val="24"/>
          <w:szCs w:val="24"/>
        </w:rPr>
        <w:t>住宅户内</w:t>
      </w:r>
      <w:r>
        <w:rPr>
          <w:rFonts w:hint="eastAsia" w:ascii="Times New Roman" w:hAnsi="Times New Roman"/>
          <w:sz w:val="24"/>
          <w:szCs w:val="24"/>
        </w:rPr>
        <w:t>可不采用</w:t>
      </w:r>
      <w:r>
        <w:rPr>
          <w:rFonts w:ascii="Times New Roman" w:hAnsi="Times New Roman"/>
          <w:sz w:val="24"/>
          <w:szCs w:val="24"/>
        </w:rPr>
        <w:t>低烟</w:t>
      </w:r>
      <w:r>
        <w:rPr>
          <w:rFonts w:hint="eastAsia" w:ascii="Times New Roman" w:hAnsi="Times New Roman"/>
          <w:sz w:val="24"/>
          <w:szCs w:val="24"/>
        </w:rPr>
        <w:t>无毒</w:t>
      </w:r>
      <w:r>
        <w:rPr>
          <w:rFonts w:ascii="Times New Roman" w:hAnsi="Times New Roman"/>
          <w:sz w:val="24"/>
          <w:szCs w:val="24"/>
        </w:rPr>
        <w:t>阻燃</w:t>
      </w:r>
      <w:r>
        <w:rPr>
          <w:rFonts w:hint="eastAsia" w:ascii="Times New Roman" w:hAnsi="Times New Roman"/>
          <w:sz w:val="24"/>
          <w:szCs w:val="24"/>
        </w:rPr>
        <w:t>型线缆</w:t>
      </w:r>
      <w:r>
        <w:rPr>
          <w:rFonts w:ascii="Times New Roman" w:hAnsi="Times New Roman"/>
          <w:sz w:val="24"/>
          <w:szCs w:val="24"/>
        </w:rPr>
        <w:t>。</w:t>
      </w:r>
    </w:p>
    <w:p>
      <w:pPr>
        <w:snapToGrid w:val="0"/>
        <w:spacing w:before="155"/>
        <w:ind w:left="668" w:right="81"/>
        <w:jc w:val="center"/>
        <w:rPr>
          <w:rFonts w:eastAsia="黑体"/>
          <w:b/>
          <w:bCs/>
          <w:snapToGrid w:val="0"/>
          <w:kern w:val="0"/>
          <w:szCs w:val="21"/>
        </w:rPr>
      </w:pPr>
      <w:r>
        <w:rPr>
          <w:rFonts w:eastAsia="黑体"/>
          <w:b/>
          <w:bCs/>
          <w:snapToGrid w:val="0"/>
          <w:kern w:val="0"/>
          <w:sz w:val="22"/>
          <w:szCs w:val="21"/>
        </w:rPr>
        <w:t>表1部分常见的耐腐蚀、抗老化、耐久性能好的部晶部件及要求</w:t>
      </w:r>
    </w:p>
    <w:p>
      <w:pPr>
        <w:snapToGrid w:val="0"/>
        <w:spacing w:before="5"/>
        <w:rPr>
          <w:snapToGrid w:val="0"/>
          <w:sz w:val="24"/>
          <w:szCs w:val="24"/>
        </w:rPr>
      </w:pPr>
    </w:p>
    <w:tbl>
      <w:tblPr>
        <w:tblStyle w:val="11"/>
        <w:tblW w:w="5000" w:type="pct"/>
        <w:tblInd w:w="-13" w:type="dxa"/>
        <w:tblLayout w:type="autofit"/>
        <w:tblCellMar>
          <w:top w:w="0" w:type="dxa"/>
          <w:left w:w="0" w:type="dxa"/>
          <w:bottom w:w="0" w:type="dxa"/>
          <w:right w:w="0" w:type="dxa"/>
        </w:tblCellMar>
      </w:tblPr>
      <w:tblGrid>
        <w:gridCol w:w="2998"/>
        <w:gridCol w:w="6198"/>
      </w:tblGrid>
      <w:tr>
        <w:tblPrEx>
          <w:tblCellMar>
            <w:top w:w="0" w:type="dxa"/>
            <w:left w:w="0" w:type="dxa"/>
            <w:bottom w:w="0" w:type="dxa"/>
            <w:right w:w="0" w:type="dxa"/>
          </w:tblCellMar>
        </w:tblPrEx>
        <w:trPr>
          <w:wBefore w:w="0" w:type="dxa"/>
          <w:wAfter w:w="0" w:type="dxa"/>
          <w:trHeight w:val="423" w:hRule="exact"/>
        </w:trPr>
        <w:tc>
          <w:tcPr>
            <w:tcW w:w="1630" w:type="pct"/>
            <w:tcBorders>
              <w:top w:val="single" w:color="000000" w:sz="10" w:space="0"/>
              <w:left w:val="single" w:color="000000" w:sz="10" w:space="0"/>
              <w:bottom w:val="single" w:color="000000" w:sz="6" w:space="0"/>
              <w:right w:val="single" w:color="000000" w:sz="6" w:space="0"/>
            </w:tcBorders>
            <w:noWrap w:val="0"/>
            <w:vAlign w:val="center"/>
          </w:tcPr>
          <w:p>
            <w:pPr>
              <w:pStyle w:val="19"/>
              <w:snapToGrid w:val="0"/>
              <w:spacing w:before="52"/>
              <w:ind w:left="9"/>
              <w:jc w:val="center"/>
              <w:rPr>
                <w:rFonts w:cs="Times New Roman"/>
                <w:snapToGrid w:val="0"/>
                <w:sz w:val="24"/>
                <w:szCs w:val="24"/>
              </w:rPr>
            </w:pPr>
            <w:r>
              <w:rPr>
                <w:rFonts w:cs="Times New Roman"/>
                <w:snapToGrid w:val="0"/>
                <w:sz w:val="24"/>
                <w:szCs w:val="24"/>
              </w:rPr>
              <w:t>常见类型</w:t>
            </w:r>
          </w:p>
        </w:tc>
        <w:tc>
          <w:tcPr>
            <w:tcW w:w="3370" w:type="pct"/>
            <w:tcBorders>
              <w:top w:val="single" w:color="000000" w:sz="10" w:space="0"/>
              <w:left w:val="single" w:color="000000" w:sz="6" w:space="0"/>
              <w:bottom w:val="single" w:color="000000" w:sz="6" w:space="0"/>
              <w:right w:val="single" w:color="000000" w:sz="10" w:space="0"/>
            </w:tcBorders>
            <w:noWrap w:val="0"/>
            <w:vAlign w:val="center"/>
          </w:tcPr>
          <w:p>
            <w:pPr>
              <w:pStyle w:val="19"/>
              <w:tabs>
                <w:tab w:val="left" w:pos="732"/>
              </w:tabs>
              <w:snapToGrid w:val="0"/>
              <w:spacing w:before="45"/>
              <w:ind w:left="30"/>
              <w:jc w:val="center"/>
              <w:rPr>
                <w:rFonts w:cs="Times New Roman"/>
                <w:snapToGrid w:val="0"/>
                <w:sz w:val="24"/>
                <w:szCs w:val="24"/>
              </w:rPr>
            </w:pPr>
            <w:r>
              <w:rPr>
                <w:rFonts w:cs="Times New Roman"/>
                <w:snapToGrid w:val="0"/>
                <w:sz w:val="24"/>
                <w:szCs w:val="24"/>
              </w:rPr>
              <w:t>要</w:t>
            </w:r>
            <w:r>
              <w:rPr>
                <w:rFonts w:cs="Times New Roman"/>
                <w:snapToGrid w:val="0"/>
                <w:sz w:val="24"/>
                <w:szCs w:val="24"/>
              </w:rPr>
              <w:tab/>
            </w:r>
            <w:r>
              <w:rPr>
                <w:rFonts w:cs="Times New Roman"/>
                <w:snapToGrid w:val="0"/>
                <w:sz w:val="24"/>
                <w:szCs w:val="24"/>
              </w:rPr>
              <w:t>求</w:t>
            </w:r>
          </w:p>
        </w:tc>
      </w:tr>
      <w:tr>
        <w:tblPrEx>
          <w:tblCellMar>
            <w:top w:w="0" w:type="dxa"/>
            <w:left w:w="0" w:type="dxa"/>
            <w:bottom w:w="0" w:type="dxa"/>
            <w:right w:w="0" w:type="dxa"/>
          </w:tblCellMar>
        </w:tblPrEx>
        <w:trPr>
          <w:wBefore w:w="0" w:type="dxa"/>
          <w:wAfter w:w="0" w:type="dxa"/>
          <w:trHeight w:val="462" w:hRule="exact"/>
        </w:trPr>
        <w:tc>
          <w:tcPr>
            <w:tcW w:w="1630" w:type="pct"/>
            <w:vMerge w:val="restart"/>
            <w:tcBorders>
              <w:top w:val="single" w:color="000000" w:sz="6" w:space="0"/>
              <w:left w:val="single" w:color="000000" w:sz="10" w:space="0"/>
              <w:right w:val="single" w:color="000000" w:sz="6" w:space="0"/>
            </w:tcBorders>
            <w:noWrap w:val="0"/>
            <w:vAlign w:val="center"/>
          </w:tcPr>
          <w:p>
            <w:pPr>
              <w:pStyle w:val="19"/>
              <w:snapToGrid w:val="0"/>
              <w:ind w:left="465"/>
              <w:rPr>
                <w:rFonts w:cs="Times New Roman"/>
                <w:snapToGrid w:val="0"/>
                <w:sz w:val="24"/>
                <w:szCs w:val="24"/>
              </w:rPr>
            </w:pPr>
            <w:r>
              <w:rPr>
                <w:rFonts w:cs="Times New Roman"/>
                <w:snapToGrid w:val="0"/>
                <w:sz w:val="24"/>
                <w:szCs w:val="24"/>
              </w:rPr>
              <w:t>管材 、管线 、管件</w:t>
            </w:r>
          </w:p>
        </w:tc>
        <w:tc>
          <w:tcPr>
            <w:tcW w:w="3370" w:type="pct"/>
            <w:tcBorders>
              <w:top w:val="single" w:color="000000" w:sz="6" w:space="0"/>
              <w:left w:val="single" w:color="000000" w:sz="6" w:space="0"/>
              <w:bottom w:val="single" w:color="000000" w:sz="6" w:space="0"/>
              <w:right w:val="single" w:color="000000" w:sz="10" w:space="0"/>
            </w:tcBorders>
            <w:noWrap w:val="0"/>
            <w:vAlign w:val="center"/>
          </w:tcPr>
          <w:p>
            <w:pPr>
              <w:pStyle w:val="19"/>
              <w:snapToGrid w:val="0"/>
              <w:spacing w:before="55"/>
              <w:ind w:firstLine="480" w:firstLineChars="200"/>
              <w:rPr>
                <w:rFonts w:cs="Times New Roman"/>
                <w:snapToGrid w:val="0"/>
                <w:sz w:val="24"/>
                <w:szCs w:val="24"/>
              </w:rPr>
            </w:pPr>
            <w:r>
              <w:rPr>
                <w:rFonts w:cs="Times New Roman"/>
                <w:snapToGrid w:val="0"/>
                <w:sz w:val="24"/>
                <w:szCs w:val="24"/>
              </w:rPr>
              <w:t>室内给水系统采用铜管或不锈钢管</w:t>
            </w:r>
          </w:p>
        </w:tc>
      </w:tr>
      <w:tr>
        <w:tblPrEx>
          <w:tblCellMar>
            <w:top w:w="0" w:type="dxa"/>
            <w:left w:w="0" w:type="dxa"/>
            <w:bottom w:w="0" w:type="dxa"/>
            <w:right w:w="0" w:type="dxa"/>
          </w:tblCellMar>
        </w:tblPrEx>
        <w:trPr>
          <w:wBefore w:w="0" w:type="dxa"/>
          <w:wAfter w:w="0" w:type="dxa"/>
          <w:trHeight w:val="680" w:hRule="exact"/>
        </w:trPr>
        <w:tc>
          <w:tcPr>
            <w:tcW w:w="1630" w:type="pct"/>
            <w:vMerge w:val="continue"/>
            <w:tcBorders>
              <w:left w:val="single" w:color="000000" w:sz="10" w:space="0"/>
              <w:bottom w:val="single" w:color="000000" w:sz="4" w:space="0"/>
              <w:right w:val="single" w:color="000000" w:sz="6" w:space="0"/>
            </w:tcBorders>
            <w:noWrap w:val="0"/>
            <w:vAlign w:val="center"/>
          </w:tcPr>
          <w:p>
            <w:pPr>
              <w:snapToGrid w:val="0"/>
              <w:rPr>
                <w:snapToGrid w:val="0"/>
                <w:sz w:val="24"/>
                <w:szCs w:val="24"/>
              </w:rPr>
            </w:pPr>
          </w:p>
        </w:tc>
        <w:tc>
          <w:tcPr>
            <w:tcW w:w="3370" w:type="pct"/>
            <w:tcBorders>
              <w:top w:val="single" w:color="000000" w:sz="6" w:space="0"/>
              <w:left w:val="single" w:color="000000" w:sz="6" w:space="0"/>
              <w:bottom w:val="single" w:color="000000" w:sz="4" w:space="0"/>
              <w:right w:val="single" w:color="000000" w:sz="10" w:space="0"/>
            </w:tcBorders>
            <w:noWrap w:val="0"/>
            <w:vAlign w:val="center"/>
          </w:tcPr>
          <w:p>
            <w:pPr>
              <w:pStyle w:val="19"/>
              <w:snapToGrid w:val="0"/>
              <w:spacing w:before="96"/>
              <w:ind w:right="148" w:firstLine="480" w:firstLineChars="200"/>
              <w:rPr>
                <w:rFonts w:cs="Times New Roman"/>
                <w:snapToGrid w:val="0"/>
                <w:sz w:val="24"/>
                <w:szCs w:val="24"/>
              </w:rPr>
            </w:pPr>
            <w:r>
              <w:rPr>
                <w:rFonts w:cs="Times New Roman"/>
                <w:snapToGrid w:val="0"/>
                <w:sz w:val="24"/>
                <w:szCs w:val="24"/>
              </w:rPr>
              <w:t>电气系统采用低烟低毒阻燃型线缆、矿物绝缘类不燃性电缆、耐火电缆等，且导体材料采用铜芯</w:t>
            </w:r>
          </w:p>
        </w:tc>
      </w:tr>
      <w:tr>
        <w:tblPrEx>
          <w:tblCellMar>
            <w:top w:w="0" w:type="dxa"/>
            <w:left w:w="0" w:type="dxa"/>
            <w:bottom w:w="0" w:type="dxa"/>
            <w:right w:w="0" w:type="dxa"/>
          </w:tblCellMar>
        </w:tblPrEx>
        <w:trPr>
          <w:wBefore w:w="0" w:type="dxa"/>
          <w:wAfter w:w="0" w:type="dxa"/>
          <w:trHeight w:val="454" w:hRule="exact"/>
        </w:trPr>
        <w:tc>
          <w:tcPr>
            <w:tcW w:w="1630" w:type="pct"/>
            <w:vMerge w:val="restart"/>
            <w:tcBorders>
              <w:top w:val="single" w:color="000000" w:sz="4" w:space="0"/>
              <w:left w:val="single" w:color="000000" w:sz="10" w:space="0"/>
              <w:right w:val="single" w:color="000000" w:sz="6" w:space="0"/>
            </w:tcBorders>
            <w:noWrap w:val="0"/>
            <w:vAlign w:val="center"/>
          </w:tcPr>
          <w:p>
            <w:pPr>
              <w:pStyle w:val="19"/>
              <w:snapToGrid w:val="0"/>
              <w:ind w:left="2"/>
              <w:jc w:val="center"/>
              <w:rPr>
                <w:rFonts w:cs="Times New Roman"/>
                <w:snapToGrid w:val="0"/>
                <w:sz w:val="24"/>
                <w:szCs w:val="24"/>
              </w:rPr>
            </w:pPr>
            <w:r>
              <w:rPr>
                <w:rFonts w:cs="Times New Roman"/>
                <w:snapToGrid w:val="0"/>
                <w:sz w:val="24"/>
                <w:szCs w:val="24"/>
              </w:rPr>
              <w:t>活动配件</w:t>
            </w:r>
          </w:p>
        </w:tc>
        <w:tc>
          <w:tcPr>
            <w:tcW w:w="3370" w:type="pct"/>
            <w:tcBorders>
              <w:top w:val="single" w:color="000000" w:sz="4" w:space="0"/>
              <w:left w:val="single" w:color="000000" w:sz="6" w:space="0"/>
              <w:bottom w:val="single" w:color="000000" w:sz="6" w:space="0"/>
              <w:right w:val="single" w:color="000000" w:sz="10" w:space="0"/>
            </w:tcBorders>
            <w:noWrap w:val="0"/>
            <w:vAlign w:val="center"/>
          </w:tcPr>
          <w:p>
            <w:pPr>
              <w:pStyle w:val="19"/>
              <w:snapToGrid w:val="0"/>
              <w:spacing w:before="52"/>
              <w:ind w:firstLine="480" w:firstLineChars="200"/>
              <w:rPr>
                <w:rFonts w:cs="Times New Roman"/>
                <w:snapToGrid w:val="0"/>
                <w:sz w:val="24"/>
                <w:szCs w:val="24"/>
              </w:rPr>
            </w:pPr>
            <w:r>
              <w:rPr>
                <w:rFonts w:cs="Times New Roman"/>
                <w:snapToGrid w:val="0"/>
                <w:sz w:val="24"/>
                <w:szCs w:val="24"/>
              </w:rPr>
              <w:t>门窗反复启闭性能达到相应产品标准要求的2倍</w:t>
            </w:r>
          </w:p>
        </w:tc>
      </w:tr>
      <w:tr>
        <w:tblPrEx>
          <w:tblCellMar>
            <w:top w:w="0" w:type="dxa"/>
            <w:left w:w="0" w:type="dxa"/>
            <w:bottom w:w="0" w:type="dxa"/>
            <w:right w:w="0" w:type="dxa"/>
          </w:tblCellMar>
        </w:tblPrEx>
        <w:trPr>
          <w:wBefore w:w="0" w:type="dxa"/>
          <w:wAfter w:w="0" w:type="dxa"/>
          <w:trHeight w:val="454" w:hRule="exact"/>
        </w:trPr>
        <w:tc>
          <w:tcPr>
            <w:tcW w:w="1630" w:type="pct"/>
            <w:vMerge w:val="continue"/>
            <w:tcBorders>
              <w:left w:val="single" w:color="000000" w:sz="10" w:space="0"/>
              <w:right w:val="single" w:color="000000" w:sz="6" w:space="0"/>
            </w:tcBorders>
            <w:noWrap w:val="0"/>
            <w:vAlign w:val="center"/>
          </w:tcPr>
          <w:p>
            <w:pPr>
              <w:snapToGrid w:val="0"/>
              <w:rPr>
                <w:snapToGrid w:val="0"/>
                <w:sz w:val="24"/>
                <w:szCs w:val="24"/>
              </w:rPr>
            </w:pPr>
          </w:p>
        </w:tc>
        <w:tc>
          <w:tcPr>
            <w:tcW w:w="3370" w:type="pct"/>
            <w:tcBorders>
              <w:top w:val="single" w:color="000000" w:sz="6" w:space="0"/>
              <w:left w:val="single" w:color="000000" w:sz="6" w:space="0"/>
              <w:bottom w:val="single" w:color="000000" w:sz="6" w:space="0"/>
              <w:right w:val="single" w:color="000000" w:sz="10" w:space="0"/>
            </w:tcBorders>
            <w:noWrap w:val="0"/>
            <w:vAlign w:val="center"/>
          </w:tcPr>
          <w:p>
            <w:pPr>
              <w:pStyle w:val="19"/>
              <w:snapToGrid w:val="0"/>
              <w:spacing w:before="96"/>
              <w:ind w:right="215" w:firstLine="480" w:firstLineChars="200"/>
              <w:rPr>
                <w:rFonts w:cs="Times New Roman"/>
                <w:snapToGrid w:val="0"/>
                <w:sz w:val="24"/>
                <w:szCs w:val="24"/>
              </w:rPr>
            </w:pPr>
            <w:r>
              <w:rPr>
                <w:rFonts w:cs="Times New Roman"/>
                <w:snapToGrid w:val="0"/>
                <w:sz w:val="24"/>
                <w:szCs w:val="24"/>
              </w:rPr>
              <w:t>遮阳产品机械耐久性达到相应产品标准要求的最高级</w:t>
            </w:r>
          </w:p>
        </w:tc>
      </w:tr>
      <w:tr>
        <w:tblPrEx>
          <w:tblCellMar>
            <w:top w:w="0" w:type="dxa"/>
            <w:left w:w="0" w:type="dxa"/>
            <w:bottom w:w="0" w:type="dxa"/>
            <w:right w:w="0" w:type="dxa"/>
          </w:tblCellMar>
        </w:tblPrEx>
        <w:trPr>
          <w:wBefore w:w="0" w:type="dxa"/>
          <w:wAfter w:w="0" w:type="dxa"/>
          <w:trHeight w:val="454" w:hRule="exact"/>
        </w:trPr>
        <w:tc>
          <w:tcPr>
            <w:tcW w:w="1630" w:type="pct"/>
            <w:vMerge w:val="continue"/>
            <w:tcBorders>
              <w:left w:val="single" w:color="000000" w:sz="10" w:space="0"/>
              <w:right w:val="single" w:color="000000" w:sz="6" w:space="0"/>
            </w:tcBorders>
            <w:noWrap w:val="0"/>
            <w:vAlign w:val="center"/>
          </w:tcPr>
          <w:p>
            <w:pPr>
              <w:snapToGrid w:val="0"/>
              <w:rPr>
                <w:snapToGrid w:val="0"/>
                <w:sz w:val="24"/>
                <w:szCs w:val="24"/>
              </w:rPr>
            </w:pPr>
          </w:p>
        </w:tc>
        <w:tc>
          <w:tcPr>
            <w:tcW w:w="3370" w:type="pct"/>
            <w:tcBorders>
              <w:top w:val="single" w:color="000000" w:sz="6" w:space="0"/>
              <w:left w:val="single" w:color="000000" w:sz="6" w:space="0"/>
              <w:bottom w:val="single" w:color="000000" w:sz="4" w:space="0"/>
              <w:right w:val="single" w:color="000000" w:sz="10" w:space="0"/>
            </w:tcBorders>
            <w:noWrap w:val="0"/>
            <w:vAlign w:val="center"/>
          </w:tcPr>
          <w:p>
            <w:pPr>
              <w:pStyle w:val="19"/>
              <w:snapToGrid w:val="0"/>
              <w:spacing w:before="54"/>
              <w:ind w:firstLine="480" w:firstLineChars="200"/>
              <w:rPr>
                <w:rFonts w:cs="Times New Roman"/>
                <w:snapToGrid w:val="0"/>
                <w:sz w:val="24"/>
                <w:szCs w:val="24"/>
              </w:rPr>
            </w:pPr>
            <w:r>
              <w:rPr>
                <w:rFonts w:cs="Times New Roman"/>
                <w:snapToGrid w:val="0"/>
                <w:sz w:val="24"/>
                <w:szCs w:val="24"/>
              </w:rPr>
              <w:t>水嘴寿命达到相应产品标准要求的1.2倍</w:t>
            </w:r>
          </w:p>
        </w:tc>
      </w:tr>
      <w:tr>
        <w:tblPrEx>
          <w:tblCellMar>
            <w:top w:w="0" w:type="dxa"/>
            <w:left w:w="0" w:type="dxa"/>
            <w:bottom w:w="0" w:type="dxa"/>
            <w:right w:w="0" w:type="dxa"/>
          </w:tblCellMar>
        </w:tblPrEx>
        <w:trPr>
          <w:wBefore w:w="0" w:type="dxa"/>
          <w:wAfter w:w="0" w:type="dxa"/>
          <w:trHeight w:val="454" w:hRule="exact"/>
        </w:trPr>
        <w:tc>
          <w:tcPr>
            <w:tcW w:w="1630" w:type="pct"/>
            <w:vMerge w:val="continue"/>
            <w:tcBorders>
              <w:left w:val="single" w:color="000000" w:sz="10" w:space="0"/>
              <w:bottom w:val="single" w:color="000000" w:sz="10" w:space="0"/>
              <w:right w:val="single" w:color="000000" w:sz="6" w:space="0"/>
            </w:tcBorders>
            <w:noWrap w:val="0"/>
            <w:vAlign w:val="center"/>
          </w:tcPr>
          <w:p>
            <w:pPr>
              <w:snapToGrid w:val="0"/>
              <w:rPr>
                <w:snapToGrid w:val="0"/>
                <w:sz w:val="24"/>
                <w:szCs w:val="24"/>
              </w:rPr>
            </w:pPr>
          </w:p>
        </w:tc>
        <w:tc>
          <w:tcPr>
            <w:tcW w:w="3370" w:type="pct"/>
            <w:tcBorders>
              <w:top w:val="single" w:color="000000" w:sz="4" w:space="0"/>
              <w:left w:val="single" w:color="000000" w:sz="6" w:space="0"/>
              <w:bottom w:val="single" w:color="000000" w:sz="10" w:space="0"/>
              <w:right w:val="single" w:color="000000" w:sz="10" w:space="0"/>
            </w:tcBorders>
            <w:noWrap w:val="0"/>
            <w:vAlign w:val="center"/>
          </w:tcPr>
          <w:p>
            <w:pPr>
              <w:pStyle w:val="19"/>
              <w:snapToGrid w:val="0"/>
              <w:spacing w:before="50"/>
              <w:ind w:firstLine="480" w:firstLineChars="200"/>
              <w:rPr>
                <w:rFonts w:cs="Times New Roman"/>
                <w:snapToGrid w:val="0"/>
                <w:sz w:val="24"/>
                <w:szCs w:val="24"/>
              </w:rPr>
            </w:pPr>
            <w:r>
              <w:rPr>
                <w:rFonts w:cs="Times New Roman"/>
                <w:snapToGrid w:val="0"/>
                <w:sz w:val="24"/>
                <w:szCs w:val="24"/>
              </w:rPr>
              <w:t>阀门寿命达到相应产品标准要求的1.5倍</w:t>
            </w:r>
          </w:p>
        </w:tc>
      </w:tr>
    </w:tbl>
    <w:p>
      <w:pPr>
        <w:spacing w:line="360" w:lineRule="auto"/>
        <w:jc w:val="left"/>
        <w:rPr>
          <w:sz w:val="24"/>
          <w:szCs w:val="24"/>
        </w:rPr>
      </w:pPr>
    </w:p>
    <w:p>
      <w:pPr>
        <w:spacing w:line="360" w:lineRule="auto"/>
        <w:ind w:firstLine="480" w:firstLineChars="200"/>
        <w:jc w:val="left"/>
        <w:rPr>
          <w:sz w:val="24"/>
          <w:szCs w:val="24"/>
        </w:rPr>
      </w:pPr>
      <w:r>
        <w:rPr>
          <w:rFonts w:hint="eastAsia"/>
          <w:sz w:val="24"/>
          <w:szCs w:val="24"/>
        </w:rPr>
        <w:t>本条的评价方法为：预评价查阅相关设计文件、产品设计要求；评价查阅相关竣工图、产品说明书或检测报告。</w:t>
      </w:r>
    </w:p>
    <w:p>
      <w:pPr>
        <w:spacing w:line="360" w:lineRule="auto"/>
        <w:rPr>
          <w:sz w:val="24"/>
          <w:szCs w:val="24"/>
        </w:rPr>
      </w:pPr>
      <w:r>
        <w:rPr>
          <w:rFonts w:hint="eastAsia"/>
          <w:b/>
          <w:sz w:val="24"/>
          <w:szCs w:val="24"/>
        </w:rPr>
        <w:t xml:space="preserve">4.2.8  </w:t>
      </w:r>
      <w:r>
        <w:rPr>
          <w:rFonts w:hint="eastAsia"/>
          <w:sz w:val="24"/>
          <w:szCs w:val="24"/>
        </w:rPr>
        <w:t>本条适用于各类民用建筑的预评价、评价。</w:t>
      </w:r>
    </w:p>
    <w:p>
      <w:pPr>
        <w:spacing w:line="360" w:lineRule="auto"/>
        <w:ind w:firstLine="480" w:firstLineChars="200"/>
        <w:jc w:val="left"/>
        <w:rPr>
          <w:sz w:val="24"/>
          <w:szCs w:val="24"/>
        </w:rPr>
      </w:pPr>
      <w:r>
        <w:rPr>
          <w:rFonts w:hint="eastAsia"/>
          <w:sz w:val="24"/>
          <w:szCs w:val="24"/>
        </w:rPr>
        <w:t>本条在本标准2016年版第7.2.11条基础上发展而来。</w:t>
      </w:r>
    </w:p>
    <w:p>
      <w:pPr>
        <w:spacing w:line="360" w:lineRule="auto"/>
        <w:ind w:firstLine="480" w:firstLineChars="200"/>
        <w:jc w:val="left"/>
        <w:rPr>
          <w:sz w:val="24"/>
          <w:szCs w:val="24"/>
        </w:rPr>
      </w:pPr>
      <w:r>
        <w:rPr>
          <w:rFonts w:hint="eastAsia"/>
          <w:sz w:val="24"/>
          <w:szCs w:val="24"/>
        </w:rPr>
        <w:t>第1款，按100年进行耐久性设计，可在造价提高有限的情况下提高结构综合性能，减少后期检测维修工程量。</w:t>
      </w:r>
    </w:p>
    <w:p>
      <w:pPr>
        <w:spacing w:line="360" w:lineRule="auto"/>
        <w:ind w:firstLine="480" w:firstLineChars="200"/>
        <w:jc w:val="left"/>
        <w:rPr>
          <w:sz w:val="24"/>
          <w:szCs w:val="24"/>
        </w:rPr>
      </w:pPr>
      <w:r>
        <w:rPr>
          <w:rFonts w:hint="eastAsia"/>
          <w:sz w:val="24"/>
          <w:szCs w:val="24"/>
        </w:rPr>
        <w:t>第2款第1项，高耐久混凝土指满足设计要求下，结合具体应用环境（如盐碱地等），对抗渗性能、抗硫酸盐侵蚀性能、抗氯离子渗透性能、抗碳化性能及早期抗裂性能等耐久性指标提出合理要求的混凝土。其各项性能的检测与试验应按现行国家标准《普通混凝土长期性能和耐久性能试验方法标准》GB/T50082的规定执行，测试结果应按现行行业标准《混凝土耐久性检验评定标准》JGJ/T 193 的规定进行性能等级划分。</w:t>
      </w:r>
    </w:p>
    <w:p>
      <w:pPr>
        <w:spacing w:line="360" w:lineRule="auto"/>
        <w:ind w:firstLine="480" w:firstLineChars="200"/>
        <w:jc w:val="left"/>
        <w:rPr>
          <w:sz w:val="24"/>
          <w:szCs w:val="24"/>
        </w:rPr>
      </w:pPr>
      <w:r>
        <w:rPr>
          <w:rFonts w:hint="eastAsia"/>
          <w:sz w:val="24"/>
          <w:szCs w:val="24"/>
        </w:rPr>
        <w:t>第2款第2项，耐候结构钢是指符合现行国家标准《耐候结构钢》GB/T4171要求的钢材；耐候型防腐涂料是指符合现行行业标准《建筑用钢结构防腐涂料》JG/T224的Ⅱ型面漆和长效型底漆。</w:t>
      </w:r>
    </w:p>
    <w:p>
      <w:pPr>
        <w:spacing w:line="360" w:lineRule="auto"/>
        <w:ind w:firstLine="480" w:firstLineChars="200"/>
        <w:jc w:val="left"/>
        <w:rPr>
          <w:sz w:val="24"/>
          <w:szCs w:val="24"/>
        </w:rPr>
      </w:pPr>
      <w:r>
        <w:rPr>
          <w:rFonts w:hint="eastAsia"/>
          <w:sz w:val="24"/>
          <w:szCs w:val="24"/>
        </w:rPr>
        <w:t>第2款第3项，根据国家标准《多高层木结构建筑技术标准》GB/T51226-2017,多高层木结构建筑采用的结构木材可分为方木、原木、规格材、层板胶合木、正交胶合木、结构复合木材、木基结构板材以及其他结构用锯材，其材质等级应符合现行国家标准《木结构设计标准》GB50005的有关规定。根据现行国家标准《木结构设计标准》GB50005,所有在室外使用，或与土壤直接接触的木构件，应采用防腐木材。在不直接接触土壤的情况下，可采用其他耐久木材或耐久木制品。</w:t>
      </w:r>
    </w:p>
    <w:p>
      <w:pPr>
        <w:spacing w:line="360" w:lineRule="auto"/>
        <w:ind w:firstLine="480" w:firstLineChars="200"/>
        <w:jc w:val="left"/>
        <w:rPr>
          <w:sz w:val="24"/>
          <w:szCs w:val="24"/>
        </w:rPr>
      </w:pPr>
      <w:r>
        <w:rPr>
          <w:rFonts w:hint="eastAsia"/>
          <w:sz w:val="24"/>
          <w:szCs w:val="24"/>
        </w:rPr>
        <w:t>对于采用多种类型构件的建筑，第2款得分按照材料用量比例计算，最终得分应在分别对应该款3项评分后，按照材料质量进行加权平均计算。</w:t>
      </w:r>
    </w:p>
    <w:p>
      <w:pPr>
        <w:spacing w:line="360" w:lineRule="auto"/>
        <w:ind w:firstLine="480" w:firstLineChars="200"/>
        <w:jc w:val="left"/>
        <w:rPr>
          <w:sz w:val="24"/>
          <w:szCs w:val="24"/>
        </w:rPr>
      </w:pPr>
      <w:r>
        <w:rPr>
          <w:rFonts w:hint="eastAsia"/>
          <w:sz w:val="24"/>
          <w:szCs w:val="24"/>
        </w:rPr>
        <w:t>本条的评价方法为：预评价查阅相关设计文件；评价查阅相关竣工图、材料用量计算书、材料决算清单。</w:t>
      </w:r>
    </w:p>
    <w:p>
      <w:pPr>
        <w:spacing w:line="360" w:lineRule="auto"/>
        <w:rPr>
          <w:sz w:val="24"/>
          <w:szCs w:val="24"/>
        </w:rPr>
      </w:pPr>
      <w:r>
        <w:rPr>
          <w:rFonts w:hint="eastAsia"/>
          <w:b/>
          <w:sz w:val="24"/>
          <w:szCs w:val="24"/>
        </w:rPr>
        <w:t xml:space="preserve">4.2.9  </w:t>
      </w:r>
      <w:r>
        <w:rPr>
          <w:rFonts w:hint="eastAsia"/>
          <w:sz w:val="24"/>
          <w:szCs w:val="24"/>
        </w:rPr>
        <w:t>本条适用于各类民用建筑的预评价、评价。</w:t>
      </w:r>
    </w:p>
    <w:p>
      <w:pPr>
        <w:spacing w:line="360" w:lineRule="auto"/>
        <w:ind w:firstLine="480" w:firstLineChars="200"/>
        <w:jc w:val="left"/>
        <w:rPr>
          <w:sz w:val="24"/>
          <w:szCs w:val="24"/>
        </w:rPr>
      </w:pPr>
      <w:r>
        <w:rPr>
          <w:rFonts w:hint="eastAsia"/>
          <w:sz w:val="24"/>
          <w:szCs w:val="24"/>
        </w:rPr>
        <w:t>本条在本标准2016年版第7.2.14条基础上发展而来。为了保持建筑物的风格、视觉效果和人居环境，装饰装修材料在一定使用年限后会进行更新替换。如果使用易沾污、难维护及耐久性差的装饰装修材料或做法，则会在一定程度上增加建筑物的维护成本，且施工也会带来有毒有害物质的排放、粉尘及噪声等问题。对采用耐久性好的装饰装修材料评价内容举例如表2。</w:t>
      </w:r>
    </w:p>
    <w:p>
      <w:pPr>
        <w:snapToGrid w:val="0"/>
        <w:spacing w:before="155"/>
        <w:ind w:left="668" w:right="81"/>
        <w:jc w:val="center"/>
        <w:rPr>
          <w:rFonts w:eastAsia="黑体"/>
          <w:b/>
          <w:bCs/>
          <w:snapToGrid w:val="0"/>
          <w:kern w:val="0"/>
          <w:sz w:val="22"/>
        </w:rPr>
      </w:pPr>
      <w:r>
        <w:rPr>
          <w:rFonts w:eastAsia="黑体"/>
          <w:b/>
          <w:bCs/>
          <w:snapToGrid w:val="0"/>
          <w:kern w:val="0"/>
          <w:sz w:val="22"/>
        </w:rPr>
        <w:t>表</w:t>
      </w:r>
      <w:r>
        <w:rPr>
          <w:rFonts w:hint="eastAsia" w:eastAsia="黑体"/>
          <w:b/>
          <w:bCs/>
          <w:snapToGrid w:val="0"/>
          <w:kern w:val="0"/>
          <w:sz w:val="22"/>
        </w:rPr>
        <w:t>2采用耐久性好的装饰装修材料评价内容</w:t>
      </w:r>
    </w:p>
    <w:p>
      <w:pPr>
        <w:snapToGrid w:val="0"/>
        <w:spacing w:before="5"/>
        <w:rPr>
          <w:snapToGrid w:val="0"/>
          <w:sz w:val="24"/>
          <w:szCs w:val="24"/>
        </w:rPr>
      </w:pPr>
    </w:p>
    <w:tbl>
      <w:tblPr>
        <w:tblStyle w:val="11"/>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03"/>
        <w:gridCol w:w="65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dxa"/>
          <w:trHeight w:val="423" w:hRule="exact"/>
        </w:trPr>
        <w:tc>
          <w:tcPr>
            <w:tcW w:w="1493" w:type="pct"/>
            <w:noWrap w:val="0"/>
            <w:vAlign w:val="center"/>
          </w:tcPr>
          <w:p>
            <w:pPr>
              <w:pStyle w:val="19"/>
              <w:snapToGrid w:val="0"/>
              <w:spacing w:before="52"/>
              <w:ind w:left="9"/>
              <w:jc w:val="center"/>
              <w:rPr>
                <w:rFonts w:cs="Times New Roman"/>
                <w:snapToGrid w:val="0"/>
                <w:sz w:val="24"/>
                <w:szCs w:val="24"/>
              </w:rPr>
            </w:pPr>
            <w:r>
              <w:rPr>
                <w:rFonts w:hint="eastAsia" w:cs="Times New Roman"/>
                <w:snapToGrid w:val="0"/>
                <w:sz w:val="24"/>
                <w:szCs w:val="24"/>
              </w:rPr>
              <w:t>分类</w:t>
            </w:r>
          </w:p>
        </w:tc>
        <w:tc>
          <w:tcPr>
            <w:tcW w:w="3507" w:type="pct"/>
            <w:noWrap w:val="0"/>
            <w:vAlign w:val="center"/>
          </w:tcPr>
          <w:p>
            <w:pPr>
              <w:pStyle w:val="19"/>
              <w:tabs>
                <w:tab w:val="left" w:pos="732"/>
              </w:tabs>
              <w:snapToGrid w:val="0"/>
              <w:spacing w:before="45"/>
              <w:ind w:left="30"/>
              <w:jc w:val="center"/>
              <w:rPr>
                <w:rFonts w:cs="Times New Roman"/>
                <w:snapToGrid w:val="0"/>
                <w:sz w:val="24"/>
                <w:szCs w:val="24"/>
              </w:rPr>
            </w:pPr>
            <w:r>
              <w:rPr>
                <w:rFonts w:hint="eastAsia" w:cs="Times New Roman"/>
                <w:snapToGrid w:val="0"/>
                <w:sz w:val="24"/>
                <w:szCs w:val="24"/>
              </w:rPr>
              <w:t>评价内容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dxa"/>
          <w:trHeight w:val="462" w:hRule="exact"/>
        </w:trPr>
        <w:tc>
          <w:tcPr>
            <w:tcW w:w="1493" w:type="pct"/>
            <w:vMerge w:val="restart"/>
            <w:noWrap w:val="0"/>
            <w:vAlign w:val="center"/>
          </w:tcPr>
          <w:p>
            <w:pPr>
              <w:pStyle w:val="19"/>
              <w:snapToGrid w:val="0"/>
              <w:ind w:left="465"/>
              <w:jc w:val="center"/>
              <w:rPr>
                <w:rFonts w:hint="eastAsia" w:cs="Times New Roman"/>
                <w:snapToGrid w:val="0"/>
                <w:sz w:val="24"/>
                <w:szCs w:val="24"/>
              </w:rPr>
            </w:pPr>
            <w:r>
              <w:rPr>
                <w:rFonts w:hint="eastAsia" w:cs="Times New Roman"/>
                <w:snapToGrid w:val="0"/>
                <w:sz w:val="24"/>
                <w:szCs w:val="24"/>
              </w:rPr>
              <w:t>外饰面</w:t>
            </w:r>
          </w:p>
        </w:tc>
        <w:tc>
          <w:tcPr>
            <w:tcW w:w="3507" w:type="pct"/>
            <w:noWrap w:val="0"/>
            <w:vAlign w:val="center"/>
          </w:tcPr>
          <w:p>
            <w:pPr>
              <w:pStyle w:val="19"/>
              <w:snapToGrid w:val="0"/>
              <w:spacing w:before="55"/>
              <w:ind w:firstLine="480" w:firstLineChars="200"/>
              <w:jc w:val="center"/>
              <w:rPr>
                <w:rFonts w:cs="Times New Roman"/>
                <w:snapToGrid w:val="0"/>
                <w:sz w:val="24"/>
                <w:szCs w:val="24"/>
              </w:rPr>
            </w:pPr>
            <w:r>
              <w:rPr>
                <w:rFonts w:hint="eastAsia" w:cs="Times New Roman"/>
                <w:snapToGrid w:val="0"/>
                <w:sz w:val="24"/>
                <w:szCs w:val="24"/>
              </w:rPr>
              <w:t>采用水性氟涂料或耐候性相当的涂料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462" w:hRule="exact"/>
        </w:trPr>
        <w:tc>
          <w:tcPr>
            <w:tcW w:w="1493" w:type="pct"/>
            <w:vMerge w:val="continue"/>
            <w:noWrap w:val="0"/>
            <w:vAlign w:val="center"/>
          </w:tcPr>
          <w:p>
            <w:pPr>
              <w:pStyle w:val="19"/>
              <w:snapToGrid w:val="0"/>
              <w:ind w:left="465"/>
              <w:jc w:val="center"/>
              <w:rPr>
                <w:rFonts w:hint="eastAsia" w:cs="Times New Roman"/>
                <w:snapToGrid w:val="0"/>
                <w:sz w:val="24"/>
                <w:szCs w:val="24"/>
              </w:rPr>
            </w:pPr>
          </w:p>
        </w:tc>
        <w:tc>
          <w:tcPr>
            <w:tcW w:w="3507" w:type="pct"/>
            <w:noWrap w:val="0"/>
            <w:vAlign w:val="center"/>
          </w:tcPr>
          <w:p>
            <w:pPr>
              <w:pStyle w:val="19"/>
              <w:snapToGrid w:val="0"/>
              <w:spacing w:before="55"/>
              <w:ind w:firstLine="480" w:firstLineChars="200"/>
              <w:jc w:val="center"/>
              <w:rPr>
                <w:rFonts w:cs="Times New Roman"/>
                <w:snapToGrid w:val="0"/>
                <w:sz w:val="24"/>
                <w:szCs w:val="24"/>
              </w:rPr>
            </w:pPr>
            <w:r>
              <w:rPr>
                <w:rFonts w:hint="eastAsia" w:cs="Times New Roman"/>
                <w:snapToGrid w:val="0"/>
                <w:sz w:val="24"/>
                <w:szCs w:val="24"/>
              </w:rPr>
              <w:t>选用耐久性与建筑幕墙设计年限相匹配的饰面材料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680" w:hRule="exact"/>
        </w:trPr>
        <w:tc>
          <w:tcPr>
            <w:tcW w:w="1493" w:type="pct"/>
            <w:vMerge w:val="continue"/>
            <w:noWrap w:val="0"/>
            <w:vAlign w:val="center"/>
          </w:tcPr>
          <w:p>
            <w:pPr>
              <w:snapToGrid w:val="0"/>
              <w:jc w:val="center"/>
              <w:rPr>
                <w:snapToGrid w:val="0"/>
                <w:sz w:val="24"/>
                <w:szCs w:val="24"/>
              </w:rPr>
            </w:pPr>
          </w:p>
        </w:tc>
        <w:tc>
          <w:tcPr>
            <w:tcW w:w="3507" w:type="pct"/>
            <w:noWrap w:val="0"/>
            <w:vAlign w:val="center"/>
          </w:tcPr>
          <w:p>
            <w:pPr>
              <w:pStyle w:val="19"/>
              <w:snapToGrid w:val="0"/>
              <w:spacing w:before="96"/>
              <w:ind w:right="148" w:firstLine="480" w:firstLineChars="200"/>
              <w:jc w:val="center"/>
              <w:rPr>
                <w:rFonts w:cs="Times New Roman"/>
                <w:snapToGrid w:val="0"/>
                <w:sz w:val="24"/>
                <w:szCs w:val="24"/>
              </w:rPr>
            </w:pPr>
            <w:r>
              <w:rPr>
                <w:rFonts w:hint="eastAsia" w:cs="Times New Roman"/>
                <w:snapToGrid w:val="0"/>
                <w:sz w:val="24"/>
                <w:szCs w:val="24"/>
              </w:rPr>
              <w:t>合理采用清水混凝土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796" w:hRule="exact"/>
        </w:trPr>
        <w:tc>
          <w:tcPr>
            <w:tcW w:w="1493" w:type="pct"/>
            <w:noWrap w:val="0"/>
            <w:vAlign w:val="center"/>
          </w:tcPr>
          <w:p>
            <w:pPr>
              <w:pStyle w:val="19"/>
              <w:snapToGrid w:val="0"/>
              <w:ind w:left="2"/>
              <w:jc w:val="center"/>
              <w:rPr>
                <w:rFonts w:cs="Times New Roman"/>
                <w:snapToGrid w:val="0"/>
                <w:sz w:val="24"/>
                <w:szCs w:val="24"/>
              </w:rPr>
            </w:pPr>
            <w:r>
              <w:rPr>
                <w:rFonts w:hint="eastAsia" w:cs="Times New Roman"/>
                <w:snapToGrid w:val="0"/>
                <w:sz w:val="24"/>
                <w:szCs w:val="24"/>
              </w:rPr>
              <w:t>防水和密封</w:t>
            </w:r>
          </w:p>
        </w:tc>
        <w:tc>
          <w:tcPr>
            <w:tcW w:w="3507" w:type="pct"/>
            <w:noWrap w:val="0"/>
            <w:vAlign w:val="center"/>
          </w:tcPr>
          <w:p>
            <w:pPr>
              <w:pStyle w:val="19"/>
              <w:snapToGrid w:val="0"/>
              <w:spacing w:before="52"/>
              <w:ind w:firstLine="480" w:firstLineChars="200"/>
              <w:jc w:val="center"/>
              <w:rPr>
                <w:rFonts w:cs="Times New Roman"/>
                <w:snapToGrid w:val="0"/>
                <w:sz w:val="24"/>
                <w:szCs w:val="24"/>
              </w:rPr>
            </w:pPr>
            <w:r>
              <w:rPr>
                <w:rFonts w:hint="eastAsia" w:cs="Times New Roman"/>
                <w:snapToGrid w:val="0"/>
                <w:sz w:val="24"/>
                <w:szCs w:val="24"/>
              </w:rPr>
              <w:t>选用耐久性符合现行国家标准《绿色产品评价 防水与密封材料》GB/T35609规定的材料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454" w:hRule="exact"/>
        </w:trPr>
        <w:tc>
          <w:tcPr>
            <w:tcW w:w="1493" w:type="pct"/>
            <w:vMerge w:val="restart"/>
            <w:noWrap w:val="0"/>
            <w:vAlign w:val="center"/>
          </w:tcPr>
          <w:p>
            <w:pPr>
              <w:pStyle w:val="19"/>
              <w:snapToGrid w:val="0"/>
              <w:ind w:left="2"/>
              <w:jc w:val="center"/>
              <w:rPr>
                <w:rFonts w:cs="Times New Roman"/>
                <w:snapToGrid w:val="0"/>
                <w:sz w:val="24"/>
                <w:szCs w:val="24"/>
              </w:rPr>
            </w:pPr>
            <w:r>
              <w:rPr>
                <w:rFonts w:hint="eastAsia" w:cs="Times New Roman"/>
                <w:snapToGrid w:val="0"/>
                <w:sz w:val="24"/>
                <w:szCs w:val="24"/>
              </w:rPr>
              <w:t>室内装饰装修材料</w:t>
            </w:r>
          </w:p>
        </w:tc>
        <w:tc>
          <w:tcPr>
            <w:tcW w:w="3507" w:type="pct"/>
            <w:noWrap w:val="0"/>
            <w:vAlign w:val="center"/>
          </w:tcPr>
          <w:p>
            <w:pPr>
              <w:pStyle w:val="19"/>
              <w:snapToGrid w:val="0"/>
              <w:spacing w:before="52"/>
              <w:ind w:firstLine="480" w:firstLineChars="200"/>
              <w:jc w:val="center"/>
              <w:rPr>
                <w:rFonts w:cs="Times New Roman"/>
                <w:snapToGrid w:val="0"/>
                <w:sz w:val="24"/>
                <w:szCs w:val="24"/>
              </w:rPr>
            </w:pPr>
            <w:r>
              <w:rPr>
                <w:rFonts w:hint="eastAsia" w:cs="Times New Roman"/>
                <w:snapToGrid w:val="0"/>
                <w:sz w:val="24"/>
                <w:szCs w:val="24"/>
              </w:rPr>
              <w:t>选用耐洗刷性≥5000次的内墙涂料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454" w:hRule="exact"/>
        </w:trPr>
        <w:tc>
          <w:tcPr>
            <w:tcW w:w="1493" w:type="pct"/>
            <w:vMerge w:val="continue"/>
            <w:noWrap w:val="0"/>
            <w:vAlign w:val="center"/>
          </w:tcPr>
          <w:p>
            <w:pPr>
              <w:snapToGrid w:val="0"/>
              <w:jc w:val="center"/>
              <w:rPr>
                <w:snapToGrid w:val="0"/>
                <w:sz w:val="24"/>
                <w:szCs w:val="24"/>
              </w:rPr>
            </w:pPr>
          </w:p>
        </w:tc>
        <w:tc>
          <w:tcPr>
            <w:tcW w:w="3507" w:type="pct"/>
            <w:noWrap w:val="0"/>
            <w:vAlign w:val="center"/>
          </w:tcPr>
          <w:p>
            <w:pPr>
              <w:pStyle w:val="19"/>
              <w:snapToGrid w:val="0"/>
              <w:spacing w:before="96"/>
              <w:ind w:right="215" w:firstLine="480" w:firstLineChars="200"/>
              <w:jc w:val="center"/>
              <w:rPr>
                <w:rFonts w:cs="Times New Roman"/>
                <w:snapToGrid w:val="0"/>
                <w:sz w:val="24"/>
                <w:szCs w:val="24"/>
              </w:rPr>
            </w:pPr>
            <w:r>
              <w:rPr>
                <w:rFonts w:hint="eastAsia" w:cs="Times New Roman"/>
                <w:snapToGrid w:val="0"/>
                <w:sz w:val="24"/>
                <w:szCs w:val="24"/>
              </w:rPr>
              <w:t>选用耐久性号的陶瓷地砖（有釉砖耐磨性不低于4级，无釉砖摸坑体积不大于127mm</w:t>
            </w:r>
            <w:r>
              <w:rPr>
                <w:rFonts w:hint="eastAsia" w:cs="Times New Roman"/>
                <w:snapToGrid w:val="0"/>
                <w:sz w:val="24"/>
                <w:szCs w:val="24"/>
                <w:vertAlign w:val="superscript"/>
              </w:rPr>
              <w:t>3</w:t>
            </w:r>
            <w:r>
              <w:rPr>
                <w:rFonts w:hint="eastAsia" w:cs="Times New Roman"/>
                <w:snapToGrid w:val="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454" w:hRule="exact"/>
        </w:trPr>
        <w:tc>
          <w:tcPr>
            <w:tcW w:w="1493" w:type="pct"/>
            <w:vMerge w:val="continue"/>
            <w:noWrap w:val="0"/>
            <w:vAlign w:val="center"/>
          </w:tcPr>
          <w:p>
            <w:pPr>
              <w:snapToGrid w:val="0"/>
              <w:jc w:val="center"/>
              <w:rPr>
                <w:snapToGrid w:val="0"/>
                <w:sz w:val="24"/>
                <w:szCs w:val="24"/>
              </w:rPr>
            </w:pPr>
          </w:p>
        </w:tc>
        <w:tc>
          <w:tcPr>
            <w:tcW w:w="3507" w:type="pct"/>
            <w:noWrap w:val="0"/>
            <w:vAlign w:val="center"/>
          </w:tcPr>
          <w:p>
            <w:pPr>
              <w:pStyle w:val="19"/>
              <w:snapToGrid w:val="0"/>
              <w:spacing w:before="54"/>
              <w:ind w:firstLine="480" w:firstLineChars="200"/>
              <w:jc w:val="center"/>
              <w:rPr>
                <w:rFonts w:cs="Times New Roman"/>
                <w:snapToGrid w:val="0"/>
                <w:sz w:val="24"/>
                <w:szCs w:val="24"/>
              </w:rPr>
            </w:pPr>
            <w:r>
              <w:rPr>
                <w:rFonts w:hint="eastAsia" w:cs="Times New Roman"/>
                <w:snapToGrid w:val="0"/>
                <w:sz w:val="24"/>
                <w:szCs w:val="24"/>
              </w:rPr>
              <w:t>采用免装饰面层的做法</w:t>
            </w:r>
          </w:p>
        </w:tc>
      </w:tr>
    </w:tbl>
    <w:p>
      <w:pPr>
        <w:spacing w:line="360" w:lineRule="auto"/>
        <w:jc w:val="center"/>
        <w:rPr>
          <w:sz w:val="24"/>
          <w:szCs w:val="24"/>
        </w:rPr>
      </w:pPr>
    </w:p>
    <w:p>
      <w:pPr>
        <w:spacing w:line="360" w:lineRule="auto"/>
        <w:ind w:firstLine="480" w:firstLineChars="200"/>
        <w:jc w:val="left"/>
        <w:rPr>
          <w:rFonts w:hint="eastAsia"/>
          <w:sz w:val="24"/>
          <w:szCs w:val="24"/>
        </w:rPr>
      </w:pPr>
      <w:r>
        <w:rPr>
          <w:rFonts w:hint="eastAsia"/>
          <w:sz w:val="24"/>
          <w:szCs w:val="24"/>
        </w:rPr>
        <w:t>本条的评价方法为：预评价查阅相关设计文件；评价查阅装饰装修竣工图、材料决算清单、材料检测报告及有关耐久性证明材料。</w:t>
      </w:r>
    </w:p>
    <w:p>
      <w:pPr>
        <w:spacing w:line="360" w:lineRule="auto"/>
        <w:rPr>
          <w:rFonts w:hint="eastAsia"/>
          <w:sz w:val="24"/>
          <w:szCs w:val="24"/>
        </w:rPr>
      </w:pPr>
      <w:r>
        <w:rPr>
          <w:rFonts w:hint="eastAsia"/>
          <w:b/>
          <w:sz w:val="24"/>
          <w:szCs w:val="24"/>
        </w:rPr>
        <w:t xml:space="preserve">4.2.10 </w:t>
      </w:r>
      <w:r>
        <w:rPr>
          <w:rFonts w:hint="eastAsia"/>
          <w:sz w:val="24"/>
          <w:szCs w:val="24"/>
        </w:rPr>
        <w:t>本条适用于各类民用建筑的预评价、评价。</w:t>
      </w:r>
    </w:p>
    <w:p>
      <w:pPr>
        <w:spacing w:line="360" w:lineRule="auto"/>
        <w:ind w:firstLine="480" w:firstLineChars="200"/>
        <w:rPr>
          <w:rFonts w:hint="eastAsia"/>
          <w:sz w:val="24"/>
          <w:szCs w:val="24"/>
        </w:rPr>
      </w:pPr>
      <w:r>
        <w:rPr>
          <w:rFonts w:hint="eastAsia"/>
          <w:sz w:val="24"/>
          <w:szCs w:val="24"/>
        </w:rPr>
        <w:t>本条沿用本标准2016年版第7.2.17条。近年来，随着国家对墙体材料产业结构进行调整，颁布了系列有关墙体材料改革节能减排和新型墙体材料产品推广应用政策以及新型墙体材料产品技术标准，为贯彻落实好国家和自治区相关的产业政策和技术要求，进一步做好新型墙体材料产品认定管理工作，以适应当前行政审批改革要求，创造良好的营商环境，广西壮族自治区住房城乡建设厅颁布《广西壮族自治区新型墙体材料产品认定管理办法（2018年修订）》（以下简称“本办法”），建筑设计单位从事建筑工程设计时，应当执行国家和广西壮族自治区应用新型墙体材料的设计规程和规范，优先采用新型墙体材料。新型墙体材料的确定应按《广西壮族自治区新型墙体材料产品认定办法》执行。外省企业生产或经销单位经销的墙体材料产品进入广西壮族自治区行政区域范围内建筑工地使用的，应符合《广西壮族自治区墙体材料产业结构调整指导目录（2017年本）》，同时，参照本办法规定进行信息登记（见附件4），并提供所在地省（自治区、直辖市）墙体材料改革管理主管部门核发有效的新型墙体材料《证书》（复印件）、6个月内合格的型式检验报告原件和产品合格证。</w:t>
      </w:r>
    </w:p>
    <w:p>
      <w:pPr>
        <w:spacing w:line="360" w:lineRule="auto"/>
        <w:ind w:firstLine="480" w:firstLineChars="200"/>
        <w:rPr>
          <w:rFonts w:hint="eastAsia"/>
          <w:sz w:val="24"/>
          <w:szCs w:val="24"/>
        </w:rPr>
      </w:pPr>
      <w:r>
        <w:rPr>
          <w:rFonts w:hint="eastAsia"/>
          <w:sz w:val="24"/>
          <w:szCs w:val="24"/>
        </w:rPr>
        <w:t>节能建筑自保温墙体是指不通过内、外保温技术，其自身的热工指标达到现行国家和地方节能建筑标准要求的墙体结构。广西气候温暖，日照适中，外围护结构的耗能部位主要是外窗，对外墙的保温性能要求较低。在广西地区的住宅建筑中，采用自保温外墙体系可满足《夏热冬暖地区居住建筑节能设计标准》（JGJ75-2012）及现行《广西壮族自治区居住建筑节能设计标准》DBJ45/029、对外墙传热系数的要求。节能建筑墙体自保温技术与其他墙体保温技术比较，具有与建筑同寿命、降低成本造价、施工方便、便于维护改造、安全等优点。节能建筑墙体自保温技术是今后节能墙体材料改革发展的重要方向，推广墙体自保温技术对于降低能源消耗、减少环境污染、促进节能减排、实现可持续发展都具有重要的意义。</w:t>
      </w:r>
    </w:p>
    <w:p>
      <w:pPr>
        <w:spacing w:line="360" w:lineRule="auto"/>
        <w:ind w:firstLine="480" w:firstLineChars="200"/>
        <w:rPr>
          <w:sz w:val="24"/>
          <w:szCs w:val="24"/>
        </w:rPr>
      </w:pPr>
      <w:r>
        <w:rPr>
          <w:rFonts w:hint="eastAsia"/>
          <w:sz w:val="24"/>
          <w:szCs w:val="24"/>
        </w:rPr>
        <w:t>本条的评价方法为：预评价查阅建筑、结构施工图及设计说明，审查项目设计中采用新型墙体及自保温墙体的证明材料、广西壮族自治区新型墙体材料产品认定证；评价查阅建筑图、装饰装修竣工图、材料决算清单、墙体材料购销合同、材料检测报告、广西壮族自治区新型墙体材料产品认定证或有关证明材料，并现场核查。</w:t>
      </w:r>
    </w:p>
    <w:p>
      <w:pPr>
        <w:spacing w:line="360" w:lineRule="auto"/>
        <w:jc w:val="center"/>
        <w:outlineLvl w:val="0"/>
        <w:rPr>
          <w:rFonts w:hint="eastAsia"/>
          <w:b/>
          <w:sz w:val="32"/>
          <w:szCs w:val="32"/>
        </w:rPr>
      </w:pPr>
      <w:r>
        <w:rPr>
          <w:sz w:val="24"/>
        </w:rPr>
        <w:br w:type="page"/>
      </w:r>
      <w:r>
        <w:rPr>
          <w:rFonts w:hint="eastAsia"/>
          <w:b/>
          <w:sz w:val="32"/>
          <w:szCs w:val="32"/>
        </w:rPr>
        <w:t>5  健 康 舒 适</w:t>
      </w:r>
    </w:p>
    <w:p/>
    <w:p>
      <w:pPr>
        <w:pStyle w:val="18"/>
        <w:spacing w:beforeLines="0" w:line="360" w:lineRule="auto"/>
        <w:ind w:firstLine="0" w:firstLineChars="0"/>
        <w:rPr>
          <w:rFonts w:hint="eastAsia"/>
        </w:rPr>
      </w:pPr>
      <w:r>
        <w:rPr>
          <w:rFonts w:hint="eastAsia"/>
        </w:rPr>
        <w:t>5.1  控 制 项</w:t>
      </w:r>
    </w:p>
    <w:p>
      <w:pPr>
        <w:pStyle w:val="18"/>
        <w:spacing w:before="240" w:line="360" w:lineRule="auto"/>
        <w:ind w:firstLine="0" w:firstLineChars="0"/>
        <w:jc w:val="left"/>
        <w:outlineLvl w:val="9"/>
        <w:rPr>
          <w:rFonts w:hint="eastAsia"/>
          <w:b w:val="0"/>
        </w:rPr>
      </w:pPr>
      <w:r>
        <w:rPr>
          <w:szCs w:val="21"/>
        </w:rPr>
        <w:t>5.1.1</w:t>
      </w:r>
      <w:r>
        <w:rPr>
          <w:rFonts w:hint="eastAsia"/>
          <w:b w:val="0"/>
          <w:szCs w:val="21"/>
        </w:rPr>
        <w:t xml:space="preserve">  </w:t>
      </w:r>
      <w:r>
        <w:rPr>
          <w:rFonts w:hint="eastAsia"/>
          <w:b w:val="0"/>
        </w:rPr>
        <w:t>本条适用千各类民用建筑的预评价、评价。</w:t>
      </w:r>
    </w:p>
    <w:p>
      <w:pPr>
        <w:pStyle w:val="18"/>
        <w:spacing w:beforeLines="0" w:line="360" w:lineRule="auto"/>
        <w:ind w:firstLine="480"/>
        <w:jc w:val="left"/>
        <w:outlineLvl w:val="9"/>
        <w:rPr>
          <w:rFonts w:hint="eastAsia"/>
          <w:b w:val="0"/>
        </w:rPr>
      </w:pPr>
      <w:r>
        <w:rPr>
          <w:rFonts w:hint="eastAsia"/>
          <w:b w:val="0"/>
        </w:rPr>
        <w:t>预评价时，对于全装修建筑项目，可仅对室内空气中的甲醒、苯、总挥发性有机物进行浓度预评估；对于非全装修建筑项目，本条不参评。评价时，对于全装修建筑项目，应按本条要求执行；对于非全装修建筑项目，符合现行国家标准《民用建筑工程室内环境污染控制规范 GB 50325 的有关要求，视为本条达标。</w:t>
      </w:r>
    </w:p>
    <w:p>
      <w:pPr>
        <w:spacing w:line="360" w:lineRule="auto"/>
        <w:ind w:firstLine="480" w:firstLineChars="200"/>
        <w:jc w:val="left"/>
        <w:rPr>
          <w:rFonts w:hint="eastAsia"/>
          <w:sz w:val="24"/>
          <w:szCs w:val="24"/>
        </w:rPr>
      </w:pPr>
      <w:r>
        <w:rPr>
          <w:rFonts w:hint="eastAsia"/>
          <w:sz w:val="24"/>
          <w:szCs w:val="24"/>
        </w:rPr>
        <w:t>本条在本标准2016年版第8.1.7条基础上发展而来。建筑室内空气中的氨、甲醒、苯、总挥发性有机物、氢等污染物以及吸烟（包括二手烟）对人体的危害已得到普遍认识，通过建筑内污染物浓度控制及禁烟控制，是实现绿色建筑的基本要求。</w:t>
      </w:r>
    </w:p>
    <w:p>
      <w:pPr>
        <w:pStyle w:val="18"/>
        <w:spacing w:beforeLines="0" w:line="360" w:lineRule="auto"/>
        <w:ind w:firstLine="480"/>
        <w:jc w:val="left"/>
        <w:outlineLvl w:val="9"/>
        <w:rPr>
          <w:rFonts w:hint="eastAsia"/>
          <w:b w:val="0"/>
          <w:szCs w:val="21"/>
        </w:rPr>
      </w:pPr>
      <w:r>
        <w:rPr>
          <w:rFonts w:hint="eastAsia"/>
          <w:b w:val="0"/>
        </w:rPr>
        <w:t>在项目实施过程中</w:t>
      </w:r>
      <w:r>
        <w:rPr>
          <w:rFonts w:hint="eastAsia"/>
          <w:b w:val="0"/>
          <w:szCs w:val="21"/>
        </w:rPr>
        <w:t>，即使所使用的装修材料、家具制品均满足各自污染物限量控制标准，但装修后多种类或大量材料制品的叠加使用，仍可能造成室内空气污染物浓度超标，控制空气中各类污染物的浓度指标是保障建筑使用者健康的基本前提。项目在设计时即应采取措施，对室内空气污染物浓度进行预评估，预测工程建成后室内空气污染物的浓度情况，指导建筑材料的选用和优化。</w:t>
      </w:r>
    </w:p>
    <w:p>
      <w:pPr>
        <w:pStyle w:val="18"/>
        <w:spacing w:beforeLines="0" w:line="360" w:lineRule="auto"/>
        <w:ind w:firstLine="480"/>
        <w:jc w:val="left"/>
        <w:outlineLvl w:val="9"/>
        <w:rPr>
          <w:rFonts w:hint="eastAsia"/>
          <w:b w:val="0"/>
          <w:szCs w:val="21"/>
        </w:rPr>
      </w:pPr>
      <w:r>
        <w:rPr>
          <w:rFonts w:hint="eastAsia"/>
          <w:b w:val="0"/>
          <w:szCs w:val="21"/>
        </w:rPr>
        <w:t>吸烟及二手烟对人健康同样会造成较大的危害，目前国内一些城市已经发布了控制吸烟条例，如《北京市控制吸烟条例》、《上海市公共场所控制吸烟条例》、《广州市控制吸烟条例》、《天津市控制吸烟条例》、《杭州市公共场所控制吸烟条例》、《青岛市控制吸烟条例》等等。因此，本条规定建筑室内和建筑主出入口处禁止吸烟，并设置禁烟标志。本条所述的建筑室内，主要指的是公共建筑室内和住宅建筑内的公共区域。</w:t>
      </w:r>
    </w:p>
    <w:p>
      <w:pPr>
        <w:pStyle w:val="18"/>
        <w:spacing w:beforeLines="0" w:line="360" w:lineRule="auto"/>
        <w:ind w:firstLine="480"/>
        <w:jc w:val="left"/>
        <w:outlineLvl w:val="9"/>
        <w:rPr>
          <w:rFonts w:hint="eastAsia"/>
          <w:b w:val="0"/>
          <w:szCs w:val="21"/>
        </w:rPr>
      </w:pPr>
      <w:r>
        <w:rPr>
          <w:rFonts w:hint="eastAsia"/>
          <w:b w:val="0"/>
          <w:szCs w:val="21"/>
        </w:rPr>
        <w:t>预评价时，应综合考虑建筑情况、室内装修设计方案、装修材料的种类和使用量、室内新风量、环境温度等诸多影响因素，以各种装修材料、家具制品主要污染物的释放特征（如释放速率）为基础，以“总量控制”为原则。依据装修设计方案，选择典型功能房间（卧室、客厅、办公室等）使用的主要建材（3种~5种）及固定家具制品，对室内空气中甲醒、苯、总挥发性有机物的浓度水平进行预评估。其中建材污染物释放特性参数及评估计算方法可参考现行行业标准《住宅建筑室内装修污染控制技术标准》 JGJ/T 436 和《公共建筑室内空气质量控制设计标准》 JGJ/T 461 的相关规定。</w:t>
      </w:r>
    </w:p>
    <w:p>
      <w:pPr>
        <w:pStyle w:val="18"/>
        <w:spacing w:beforeLines="0" w:line="360" w:lineRule="auto"/>
        <w:ind w:firstLine="480"/>
        <w:jc w:val="left"/>
        <w:outlineLvl w:val="9"/>
        <w:rPr>
          <w:rFonts w:hint="eastAsia"/>
          <w:b w:val="0"/>
          <w:szCs w:val="21"/>
        </w:rPr>
      </w:pPr>
      <w:r>
        <w:rPr>
          <w:rFonts w:hint="eastAsia"/>
          <w:b w:val="0"/>
          <w:szCs w:val="21"/>
        </w:rPr>
        <w:t>评价时，应选取每栋单体建筑中具有代表性的典型房间进行采样检测，采样和检验方法应符合现行国家标准《室内空气质最标准》 GB/T 18883 的相关规定；采样的房间数量不少千房间总数的 5%, 且每个单体建筑不少于3间。</w:t>
      </w:r>
    </w:p>
    <w:p>
      <w:pPr>
        <w:pStyle w:val="18"/>
        <w:spacing w:beforeLines="0" w:line="360" w:lineRule="auto"/>
        <w:ind w:firstLine="480"/>
        <w:jc w:val="left"/>
        <w:outlineLvl w:val="9"/>
        <w:rPr>
          <w:rFonts w:hint="eastAsia"/>
          <w:b w:val="0"/>
          <w:szCs w:val="21"/>
        </w:rPr>
      </w:pPr>
      <w:r>
        <w:rPr>
          <w:rFonts w:hint="eastAsia"/>
          <w:b w:val="0"/>
          <w:szCs w:val="21"/>
        </w:rPr>
        <w:t>本条的评价方法为：预评价查阅相关设计文件、相关说明文件（装修材料种类、用量，禁止吸烟措施）、预评估分析报告；评价查阅相关竣工图、相关说明文件（装修材料种类、用最，禁止吸烟措施）、预评估分析报告，投入使用的项目尚应查阅室内空气质量检测报告、禁烟标志。</w:t>
      </w:r>
    </w:p>
    <w:p>
      <w:pPr>
        <w:pStyle w:val="18"/>
        <w:spacing w:beforeLines="0" w:line="360" w:lineRule="auto"/>
        <w:ind w:firstLine="0" w:firstLineChars="0"/>
        <w:jc w:val="left"/>
        <w:outlineLvl w:val="9"/>
        <w:rPr>
          <w:rFonts w:hint="eastAsia"/>
          <w:b w:val="0"/>
          <w:szCs w:val="21"/>
        </w:rPr>
      </w:pPr>
      <w:r>
        <w:rPr>
          <w:szCs w:val="21"/>
        </w:rPr>
        <w:t>5.1.2</w:t>
      </w:r>
      <w:r>
        <w:rPr>
          <w:rFonts w:hint="eastAsia"/>
          <w:b w:val="0"/>
          <w:szCs w:val="21"/>
        </w:rPr>
        <w:t xml:space="preserve"> 本条适用于各类民用建筑的预评价、评价。</w:t>
      </w:r>
    </w:p>
    <w:p>
      <w:pPr>
        <w:pStyle w:val="18"/>
        <w:spacing w:beforeLines="0" w:line="360" w:lineRule="auto"/>
        <w:ind w:firstLine="480"/>
        <w:jc w:val="left"/>
        <w:outlineLvl w:val="9"/>
        <w:rPr>
          <w:rFonts w:hint="eastAsia"/>
          <w:b w:val="0"/>
          <w:szCs w:val="21"/>
        </w:rPr>
      </w:pPr>
      <w:r>
        <w:rPr>
          <w:rFonts w:hint="eastAsia"/>
          <w:b w:val="0"/>
          <w:szCs w:val="21"/>
        </w:rPr>
        <w:t>本条在本标准2016年版第8.2.11、8.2.13条基础上发展而来。</w:t>
      </w:r>
    </w:p>
    <w:p>
      <w:pPr>
        <w:pStyle w:val="18"/>
        <w:spacing w:beforeLines="0" w:line="360" w:lineRule="auto"/>
        <w:ind w:firstLine="480"/>
        <w:jc w:val="left"/>
        <w:outlineLvl w:val="9"/>
        <w:rPr>
          <w:rFonts w:hint="eastAsia"/>
          <w:b w:val="0"/>
          <w:szCs w:val="21"/>
        </w:rPr>
      </w:pPr>
      <w:r>
        <w:rPr>
          <w:rFonts w:hint="eastAsia"/>
          <w:b w:val="0"/>
          <w:szCs w:val="21"/>
        </w:rPr>
        <w:t>避免厨房、餐厅、打印复印室、卫生间、地下车库等区域的空气和污染物串通到室内其他空间，为此要保证合理的气流组织，采取合理的排风措施避免污染物扩散，将厨房和卫生间设置于建筑单元（或户型）自然通风的负压侧，防止厨房或卫生间的气味进入室内而影响室内空气质量。同时，可以对不同功能房间保证一定压差，避免气味或污染物串通到室内其他空间。如设置机械排风，应保证负压，还应注意其取风口和排风口的位置，避免短路或污染。</w:t>
      </w:r>
    </w:p>
    <w:p>
      <w:pPr>
        <w:pStyle w:val="18"/>
        <w:spacing w:beforeLines="0" w:line="360" w:lineRule="auto"/>
        <w:ind w:firstLine="480"/>
        <w:jc w:val="left"/>
        <w:outlineLvl w:val="9"/>
        <w:rPr>
          <w:rFonts w:hint="eastAsia"/>
          <w:b w:val="0"/>
          <w:szCs w:val="21"/>
        </w:rPr>
      </w:pPr>
      <w:r>
        <w:rPr>
          <w:rFonts w:hint="eastAsia"/>
          <w:b w:val="0"/>
          <w:szCs w:val="21"/>
        </w:rPr>
        <w:t>厨房和卫生间的排气倒灌，对室内空气品质影响巨大，因此本条对避免厨房和卫生间排气倒灌进行了规定。厨房和卫生间的排气道设计应符合现行国家标准《住宅设计规范》GB50096、《住宅建筑规范》GB50368、《建筑设计防火规范》GB50016、《民用建筑设计统一标准》GB50352等规范的有关规定。排气道的断面、形状、尺寸和内壁应有利于排烟（气）通畅，防止产生阻滞、涡流、串烟、漏气和倒灌等现象。其他措施还包括安装止回排气阀、防倒灌风帽等。止回排气阀的各零件部品表面应平整，不应有裂缝、压坑及明显的凹凸、锤痕、毛刺、孔洞等缺陷。</w:t>
      </w:r>
    </w:p>
    <w:p>
      <w:pPr>
        <w:pStyle w:val="18"/>
        <w:spacing w:beforeLines="0" w:line="360" w:lineRule="auto"/>
        <w:ind w:firstLine="480"/>
        <w:jc w:val="left"/>
        <w:outlineLvl w:val="9"/>
        <w:rPr>
          <w:rFonts w:hint="eastAsia"/>
          <w:b w:val="0"/>
          <w:szCs w:val="21"/>
        </w:rPr>
      </w:pPr>
      <w:r>
        <w:rPr>
          <w:rFonts w:hint="eastAsia"/>
          <w:b w:val="0"/>
          <w:szCs w:val="21"/>
        </w:rPr>
        <w:t>本条的评价方法为：预评价查阅相关设计文件、气流组织模拟分析报告；评价查阅相关竣工图、气流组织模拟分析报告、相关产品性能检测报告或质量合格证书。</w:t>
      </w:r>
    </w:p>
    <w:p>
      <w:pPr>
        <w:pStyle w:val="18"/>
        <w:spacing w:beforeLines="0" w:line="360" w:lineRule="auto"/>
        <w:ind w:firstLine="0" w:firstLineChars="0"/>
        <w:jc w:val="left"/>
        <w:outlineLvl w:val="9"/>
        <w:rPr>
          <w:rFonts w:hint="eastAsia"/>
          <w:b w:val="0"/>
          <w:szCs w:val="21"/>
        </w:rPr>
      </w:pPr>
      <w:r>
        <w:rPr>
          <w:szCs w:val="21"/>
        </w:rPr>
        <w:t>5.1.3</w:t>
      </w:r>
      <w:r>
        <w:rPr>
          <w:rFonts w:hint="eastAsia"/>
          <w:b w:val="0"/>
          <w:szCs w:val="21"/>
        </w:rPr>
        <w:t xml:space="preserve">  本条适用于各类民用建筑的预评价、评价。</w:t>
      </w:r>
    </w:p>
    <w:p>
      <w:pPr>
        <w:pStyle w:val="18"/>
        <w:spacing w:beforeLines="0" w:line="360" w:lineRule="auto"/>
        <w:ind w:firstLine="480"/>
        <w:jc w:val="left"/>
        <w:outlineLvl w:val="9"/>
        <w:rPr>
          <w:rFonts w:hint="eastAsia"/>
          <w:b w:val="0"/>
          <w:szCs w:val="21"/>
        </w:rPr>
      </w:pPr>
      <w:r>
        <w:rPr>
          <w:rFonts w:hint="eastAsia"/>
          <w:b w:val="0"/>
          <w:szCs w:val="21"/>
        </w:rPr>
        <w:t>本条为新增条文。若建筑未设置储水设施，本条第2款直接达标。未设置非传统水源系统，本条第4款直接达标。</w:t>
      </w:r>
    </w:p>
    <w:p>
      <w:pPr>
        <w:pStyle w:val="18"/>
        <w:spacing w:beforeLines="0" w:line="360" w:lineRule="auto"/>
        <w:ind w:firstLine="480"/>
        <w:jc w:val="left"/>
        <w:outlineLvl w:val="9"/>
        <w:rPr>
          <w:rFonts w:hint="eastAsia"/>
          <w:b w:val="0"/>
          <w:szCs w:val="21"/>
        </w:rPr>
      </w:pPr>
      <w:r>
        <w:rPr>
          <w:rFonts w:hint="eastAsia"/>
          <w:b w:val="0"/>
          <w:szCs w:val="21"/>
        </w:rPr>
        <w:t>第1款，建筑生活饮用水点出水水质的常规指标应符合现行国家标准《生活饮用水卫生标准》GB 5749的规定。《生活饮用水卫生标准》GB 5749-2006对饮用水中与人群健康相关的各种因素（物理、化学和生物），作出了量值规定，同时对为实现量值所作的有关行为提出了规范要求，包括：生活饮用水水质卫生要求、生活饮用水水源水质卫生要求、集中式供水单位卫生要求、二次供水卫生要求、涉及生活饮用水卫生安全产品卫生要求、水质监测和水质检验方法等。生活饮用水主要水质指标包括微生物指标、毒理指标、感官性状和一般化学指标、放射性指标、消毒剂指标等，而这些指标又分为常规指标和非常规指标。常规指标指能反映生活饮用水水质基本状况的水质指标；非常规指标指根据地区、时间或特殊情况需要的生活饮用水水质指标。</w:t>
      </w:r>
    </w:p>
    <w:p>
      <w:pPr>
        <w:pStyle w:val="18"/>
        <w:spacing w:beforeLines="0" w:line="360" w:lineRule="auto"/>
        <w:ind w:firstLine="480"/>
        <w:jc w:val="left"/>
        <w:outlineLvl w:val="9"/>
        <w:rPr>
          <w:rFonts w:hint="eastAsia"/>
          <w:b w:val="0"/>
          <w:szCs w:val="21"/>
        </w:rPr>
      </w:pPr>
      <w:r>
        <w:rPr>
          <w:rFonts w:hint="eastAsia"/>
          <w:b w:val="0"/>
          <w:szCs w:val="21"/>
        </w:rPr>
        <w:t>第2款，生活饮用水储水设施包括饮用水供水系统储水设施、集中生活热水储水设施、储有生活用水的消防储水设施、冷却用水储水设施、游泳池及水景平衡水箱（池）等。水池、水箱等储水设施的设计与运行管理应符合现行国家标准《二次供水设施卫生规范》GB 17051的要求。</w:t>
      </w:r>
    </w:p>
    <w:p>
      <w:pPr>
        <w:pStyle w:val="18"/>
        <w:spacing w:beforeLines="0" w:line="360" w:lineRule="auto"/>
        <w:ind w:firstLine="480"/>
        <w:jc w:val="left"/>
        <w:outlineLvl w:val="9"/>
        <w:rPr>
          <w:rFonts w:hint="eastAsia"/>
          <w:b w:val="0"/>
          <w:szCs w:val="21"/>
        </w:rPr>
      </w:pPr>
      <w:r>
        <w:rPr>
          <w:rFonts w:hint="eastAsia"/>
          <w:b w:val="0"/>
          <w:szCs w:val="21"/>
        </w:rPr>
        <w:t>第3款，选用构造内自带水封的便器，应满足现行国家标准《卫生陶瓷》GB 6952和现行行业标准《节水型生活用水器具》CJT 164的规定。</w:t>
      </w:r>
    </w:p>
    <w:p>
      <w:pPr>
        <w:pStyle w:val="18"/>
        <w:spacing w:beforeLines="0" w:line="360" w:lineRule="auto"/>
        <w:ind w:firstLine="480"/>
        <w:jc w:val="left"/>
        <w:outlineLvl w:val="9"/>
        <w:rPr>
          <w:rFonts w:hint="eastAsia"/>
          <w:b w:val="0"/>
          <w:szCs w:val="21"/>
        </w:rPr>
      </w:pPr>
      <w:r>
        <w:rPr>
          <w:rFonts w:hint="eastAsia"/>
          <w:b w:val="0"/>
          <w:szCs w:val="21"/>
        </w:rPr>
        <w:t>第4款，建筑内非传统水源管道及设备的标识设置可参考现行国家标准《工业管道的基本识别色、识别符号和安全标识》GB 7231、《建筑给水排水及采暖工程施工质量验收规范》GB 50242中的相关要求，如：在管道上设色环标识，二个标识之间的最小距离不应大于10m，所有管道的起点、终点、交叉点、转弯处、阀门和穿墙孔两侧等的管道上和其他需要标识的部位均应设置标识，标识由系统名称、流向组成等，设置的标识字体、大小、颜色应方便辨识，且应为永久性的标识，避免标识随时间褪色、剥落、损坏。</w:t>
      </w:r>
    </w:p>
    <w:p>
      <w:pPr>
        <w:pStyle w:val="18"/>
        <w:spacing w:beforeLines="0" w:line="360" w:lineRule="auto"/>
        <w:ind w:firstLine="480"/>
        <w:jc w:val="left"/>
        <w:outlineLvl w:val="9"/>
        <w:rPr>
          <w:rFonts w:hint="eastAsia"/>
          <w:b w:val="0"/>
          <w:bCs w:val="0"/>
          <w:szCs w:val="21"/>
        </w:rPr>
      </w:pPr>
      <w:r>
        <w:rPr>
          <w:rFonts w:hint="eastAsia"/>
          <w:b w:val="0"/>
          <w:szCs w:val="21"/>
        </w:rPr>
        <w:t>本条的评价方法为：预评价查阅市政供水的水质检测报告，报告要求包含全部常规指标（可用同一水源邻近项目一年以内的水质检测报告代替）；给水排水施工图设计说明，要求包含生活饮用水水质的要求、对卫生器具和地漏水封要求的说明；非传统水源管道和设备标识设置说明。评价查阅预评价方式涉及的竣工文件，包含生活饮用水水质的要求、对卫生器具和地漏水封的说明，非传统水源管道和设备标识设置说明；所采用的地漏或自带水封便器的产品说明；项目生活饮用水的水质检测报告，报告至少应包含水源（市政供水、自备井水等）、水处理设施出水及最不利用水点的全部常规指标。已投入使用的项目，尚应查阅项目储水设施清洗消毒管理制度、储水设施清洗</w:t>
      </w:r>
      <w:r>
        <w:rPr>
          <w:rFonts w:hint="eastAsia"/>
          <w:b w:val="0"/>
          <w:bCs w:val="0"/>
          <w:szCs w:val="21"/>
        </w:rPr>
        <w:t>消毒工作记录。</w:t>
      </w:r>
    </w:p>
    <w:p>
      <w:pPr>
        <w:snapToGrid w:val="0"/>
        <w:spacing w:line="360" w:lineRule="auto"/>
        <w:rPr>
          <w:rFonts w:hint="eastAsia"/>
          <w:snapToGrid w:val="0"/>
          <w:sz w:val="24"/>
          <w:szCs w:val="24"/>
        </w:rPr>
      </w:pPr>
      <w:r>
        <w:rPr>
          <w:rFonts w:hint="eastAsia"/>
          <w:b/>
          <w:snapToGrid w:val="0"/>
          <w:sz w:val="24"/>
          <w:szCs w:val="24"/>
        </w:rPr>
        <w:t xml:space="preserve">5.1.4  </w:t>
      </w:r>
      <w:r>
        <w:rPr>
          <w:rFonts w:hint="eastAsia"/>
          <w:snapToGrid w:val="0"/>
          <w:sz w:val="24"/>
          <w:szCs w:val="24"/>
        </w:rPr>
        <w:t>本条适用于各类民用建筑的预评价、评价。</w:t>
      </w:r>
    </w:p>
    <w:p>
      <w:pPr>
        <w:snapToGrid w:val="0"/>
        <w:spacing w:line="360" w:lineRule="auto"/>
        <w:ind w:firstLine="480" w:firstLineChars="200"/>
        <w:rPr>
          <w:rFonts w:hint="eastAsia"/>
          <w:snapToGrid w:val="0"/>
          <w:sz w:val="24"/>
          <w:szCs w:val="24"/>
        </w:rPr>
      </w:pPr>
      <w:r>
        <w:rPr>
          <w:rFonts w:hint="eastAsia"/>
          <w:snapToGrid w:val="0"/>
          <w:sz w:val="24"/>
          <w:szCs w:val="24"/>
        </w:rPr>
        <w:t>本条沿用本标准2016年版第8.1.1、8.1.2条。本条所指的噪声控制对象包括室内自身声源和室外噪声。提高建筑构造的隔声降噪能力对使用者的健康是非常必要的，因此需采取有效措施控制人所处环境的噪声级，提高隔声性能，减少噪声对人体健康的影响。</w:t>
      </w:r>
    </w:p>
    <w:p>
      <w:pPr>
        <w:snapToGrid w:val="0"/>
        <w:spacing w:line="360" w:lineRule="auto"/>
        <w:ind w:firstLine="480" w:firstLineChars="200"/>
        <w:rPr>
          <w:rFonts w:hint="eastAsia"/>
          <w:snapToGrid w:val="0"/>
          <w:sz w:val="24"/>
          <w:szCs w:val="24"/>
        </w:rPr>
      </w:pPr>
      <w:r>
        <w:rPr>
          <w:rFonts w:hint="eastAsia"/>
          <w:snapToGrid w:val="0"/>
          <w:sz w:val="24"/>
          <w:szCs w:val="24"/>
        </w:rPr>
        <w:t>第1款，影响建筑室内噪声级大小的噪声源主要包括两类：一类是室内自身声源，如室内的通风空调设备、日用电器等；另一类是来自室外的噪声源，包括建筑内部其他空间的噪声源（如电梯噪声、空调机组噪声等）和建筑外部的噪声源（如周边交通噪声、社会生活噪声、工业噪声等）。对于建筑外部噪声源的控制，应首先在规划选址阶段就做综合考量，建筑设计时应进行合理的平面布局，避免或降低主要功能房间受到室外交通、活动区域等的干扰。否则，应通过提高围护结构隔声性能等方式改善。对建筑物内部的噪声源，应通过选用低噪声设备、设置有效隔声、隔振、吸声、消声等综合措施来控制。若该标准中没有明确室内噪声级的低限要求，即对应该标准规定的室内噪声级的最低要求。</w:t>
      </w:r>
    </w:p>
    <w:p>
      <w:pPr>
        <w:snapToGrid w:val="0"/>
        <w:spacing w:line="360" w:lineRule="auto"/>
        <w:ind w:firstLine="480" w:firstLineChars="200"/>
        <w:rPr>
          <w:rFonts w:hint="eastAsia"/>
          <w:snapToGrid w:val="0"/>
          <w:sz w:val="24"/>
          <w:szCs w:val="24"/>
        </w:rPr>
      </w:pPr>
      <w:r>
        <w:rPr>
          <w:rFonts w:hint="eastAsia"/>
          <w:snapToGrid w:val="0"/>
          <w:sz w:val="24"/>
          <w:szCs w:val="24"/>
        </w:rPr>
        <w:t>第2款，外墙、隔墙和门窗的隔声性能指空气声隔声性能；楼板的隔声性能除了空气声隔声性能之外，还包括撞击声隔声性能。本款所指的外墙、隔墙和门窗的隔声性能的低限要求，与现行国家标准《民用建筑隔声设计规范》GB50118中的低限要求规定对应，若该标准中没有明确围护结构隔声性能的低限要求，即对应该标准规定的隔声性能的最低要求。</w:t>
      </w:r>
    </w:p>
    <w:p>
      <w:pPr>
        <w:snapToGrid w:val="0"/>
        <w:spacing w:line="360" w:lineRule="auto"/>
        <w:ind w:firstLine="480" w:firstLineChars="200"/>
        <w:rPr>
          <w:rFonts w:hint="eastAsia"/>
          <w:snapToGrid w:val="0"/>
          <w:sz w:val="24"/>
          <w:szCs w:val="24"/>
        </w:rPr>
      </w:pPr>
      <w:r>
        <w:rPr>
          <w:rFonts w:hint="eastAsia"/>
          <w:snapToGrid w:val="0"/>
          <w:sz w:val="24"/>
          <w:szCs w:val="24"/>
        </w:rPr>
        <w:t>本条的评价方法为：预评价查阅相关设计文件、环评报告、噪声分析报告、构件隔声性能的实验室检验报告；评价查阅相关竣工图、噪声分析报告、室内噪声级检测报告、构件隔声性能的实验室检验报告。</w:t>
      </w:r>
    </w:p>
    <w:p>
      <w:pPr>
        <w:snapToGrid w:val="0"/>
        <w:spacing w:line="360" w:lineRule="auto"/>
        <w:rPr>
          <w:snapToGrid w:val="0"/>
          <w:sz w:val="24"/>
          <w:szCs w:val="24"/>
        </w:rPr>
      </w:pPr>
      <w:r>
        <w:rPr>
          <w:rFonts w:hint="eastAsia"/>
          <w:b/>
          <w:snapToGrid w:val="0"/>
          <w:sz w:val="24"/>
          <w:szCs w:val="24"/>
        </w:rPr>
        <w:t>5.1.5</w:t>
      </w:r>
      <w:r>
        <w:rPr>
          <w:snapToGrid w:val="0"/>
          <w:sz w:val="24"/>
          <w:szCs w:val="24"/>
        </w:rPr>
        <w:t xml:space="preserve">  本条适用于各类民用建筑的预评价、评价。</w:t>
      </w:r>
    </w:p>
    <w:p>
      <w:pPr>
        <w:pStyle w:val="4"/>
        <w:snapToGrid w:val="0"/>
        <w:spacing w:line="360" w:lineRule="auto"/>
        <w:ind w:firstLine="480" w:firstLineChars="200"/>
        <w:jc w:val="left"/>
        <w:rPr>
          <w:rFonts w:ascii="Times New Roman" w:hAnsi="Times New Roman"/>
          <w:snapToGrid w:val="0"/>
          <w:sz w:val="24"/>
          <w:szCs w:val="24"/>
        </w:rPr>
      </w:pPr>
      <w:r>
        <w:rPr>
          <w:rFonts w:ascii="Times New Roman" w:hAnsi="Times New Roman"/>
          <w:snapToGrid w:val="0"/>
          <w:sz w:val="24"/>
          <w:szCs w:val="24"/>
        </w:rPr>
        <w:t>本条在本标准2016年版第8. 1. 3条基础上发展而来。</w:t>
      </w:r>
    </w:p>
    <w:p>
      <w:pPr>
        <w:pStyle w:val="4"/>
        <w:snapToGrid w:val="0"/>
        <w:spacing w:line="360" w:lineRule="auto"/>
        <w:ind w:firstLine="480" w:firstLineChars="200"/>
        <w:jc w:val="left"/>
        <w:rPr>
          <w:rFonts w:ascii="Times New Roman" w:hAnsi="Times New Roman"/>
          <w:snapToGrid w:val="0"/>
          <w:sz w:val="24"/>
          <w:szCs w:val="24"/>
        </w:rPr>
      </w:pPr>
      <w:r>
        <w:rPr>
          <w:rFonts w:ascii="Times New Roman" w:hAnsi="Times New Roman"/>
          <w:snapToGrid w:val="0"/>
          <w:sz w:val="24"/>
          <w:szCs w:val="24"/>
        </w:rPr>
        <w:t>第1款，室内照明质量是影响室内环境质量的重要因素之一，良好的照明不但有利于提升人们的工作和学习效率，更有利于人们的身心健康，减少各种职业疾病。良好、舒适的照明要求在参考平面上具有适当的照度水平，避免眩光，显色效果良好。各类民用建筑中的室内照度、眩光值、一般显色指数等照明数量和质量指标应满足现行国家标准《建筑照明设计标准》GB 50034的有关规定。</w:t>
      </w:r>
    </w:p>
    <w:p>
      <w:pPr>
        <w:pStyle w:val="4"/>
        <w:snapToGrid w:val="0"/>
        <w:spacing w:line="360" w:lineRule="auto"/>
        <w:ind w:firstLine="480" w:firstLineChars="200"/>
        <w:jc w:val="left"/>
        <w:rPr>
          <w:rFonts w:ascii="Times New Roman" w:hAnsi="Times New Roman"/>
          <w:snapToGrid w:val="0"/>
          <w:sz w:val="24"/>
          <w:szCs w:val="24"/>
        </w:rPr>
      </w:pPr>
      <w:r>
        <w:rPr>
          <w:rFonts w:ascii="Times New Roman" w:hAnsi="Times New Roman"/>
          <w:snapToGrid w:val="0"/>
          <w:sz w:val="24"/>
          <w:szCs w:val="24"/>
        </w:rPr>
        <w:t>第2款，对照明产品光生物安全性作了规定，现行国家标准《灯和灯系统的光生物安全性》GB/T 20145规定了照明产品不同危险级别的光生物安全指标及相关测试方法，为保障室内人员的健康，人员长期停留场所的照明应选择安全组别为无危险类的产品。</w:t>
      </w:r>
    </w:p>
    <w:p>
      <w:pPr>
        <w:pStyle w:val="4"/>
        <w:snapToGrid w:val="0"/>
        <w:spacing w:line="360" w:lineRule="auto"/>
        <w:ind w:firstLine="480" w:firstLineChars="200"/>
        <w:jc w:val="left"/>
        <w:rPr>
          <w:rFonts w:hint="eastAsia" w:ascii="Times New Roman" w:hAnsi="Times New Roman"/>
          <w:snapToGrid w:val="0"/>
          <w:sz w:val="24"/>
          <w:szCs w:val="24"/>
        </w:rPr>
      </w:pPr>
      <w:r>
        <w:rPr>
          <w:rFonts w:ascii="Times New Roman" w:hAnsi="Times New Roman"/>
          <w:snapToGrid w:val="0"/>
          <w:sz w:val="24"/>
          <w:szCs w:val="24"/>
        </w:rPr>
        <w:t>第3款，光源光输出波形的波动深度又称为频闪比，用来评价光输出的波动对人的影响。当电光源光通量波动的频率，与运动</w:t>
      </w:r>
      <w:r>
        <w:rPr>
          <w:rFonts w:hint="eastAsia" w:ascii="Times New Roman" w:hAnsi="Times New Roman"/>
          <w:snapToGrid w:val="0"/>
          <w:sz w:val="24"/>
          <w:szCs w:val="24"/>
        </w:rPr>
        <w:t>（</w:t>
      </w:r>
      <w:r>
        <w:rPr>
          <w:rFonts w:ascii="Times New Roman" w:hAnsi="Times New Roman"/>
          <w:snapToGrid w:val="0"/>
          <w:sz w:val="24"/>
          <w:szCs w:val="24"/>
        </w:rPr>
        <w:t>旋转</w:t>
      </w:r>
      <w:r>
        <w:rPr>
          <w:rFonts w:hint="eastAsia" w:ascii="Times New Roman" w:hAnsi="Times New Roman"/>
          <w:snapToGrid w:val="0"/>
          <w:sz w:val="24"/>
          <w:szCs w:val="24"/>
        </w:rPr>
        <w:t>）</w:t>
      </w:r>
      <w:r>
        <w:rPr>
          <w:rFonts w:ascii="Times New Roman" w:hAnsi="Times New Roman"/>
          <w:snapToGrid w:val="0"/>
          <w:sz w:val="24"/>
          <w:szCs w:val="24"/>
        </w:rPr>
        <w:t>物体的速度</w:t>
      </w:r>
      <w:r>
        <w:rPr>
          <w:rFonts w:hint="eastAsia" w:ascii="Times New Roman" w:hAnsi="Times New Roman"/>
          <w:snapToGrid w:val="0"/>
          <w:sz w:val="24"/>
          <w:szCs w:val="24"/>
        </w:rPr>
        <w:t>（</w:t>
      </w:r>
      <w:r>
        <w:rPr>
          <w:rFonts w:ascii="Times New Roman" w:hAnsi="Times New Roman"/>
          <w:snapToGrid w:val="0"/>
          <w:sz w:val="24"/>
          <w:szCs w:val="24"/>
        </w:rPr>
        <w:t>转速</w:t>
      </w:r>
      <w:r>
        <w:rPr>
          <w:rFonts w:hint="eastAsia" w:ascii="Times New Roman" w:hAnsi="Times New Roman"/>
          <w:snapToGrid w:val="0"/>
          <w:sz w:val="24"/>
          <w:szCs w:val="24"/>
        </w:rPr>
        <w:t>）</w:t>
      </w:r>
      <w:r>
        <w:rPr>
          <w:rFonts w:ascii="Times New Roman" w:hAnsi="Times New Roman"/>
          <w:snapToGrid w:val="0"/>
          <w:sz w:val="24"/>
          <w:szCs w:val="24"/>
        </w:rPr>
        <w:t>成整倍数关系时，运动</w:t>
      </w:r>
      <w:r>
        <w:rPr>
          <w:rFonts w:hint="eastAsia" w:ascii="Times New Roman" w:hAnsi="Times New Roman"/>
          <w:snapToGrid w:val="0"/>
          <w:sz w:val="24"/>
          <w:szCs w:val="24"/>
        </w:rPr>
        <w:t>（</w:t>
      </w:r>
      <w:r>
        <w:rPr>
          <w:rFonts w:ascii="Times New Roman" w:hAnsi="Times New Roman"/>
          <w:snapToGrid w:val="0"/>
          <w:sz w:val="24"/>
          <w:szCs w:val="24"/>
        </w:rPr>
        <w:t>旋转</w:t>
      </w:r>
      <w:r>
        <w:rPr>
          <w:rFonts w:hint="eastAsia" w:ascii="Times New Roman" w:hAnsi="Times New Roman"/>
          <w:snapToGrid w:val="0"/>
          <w:sz w:val="24"/>
          <w:szCs w:val="24"/>
        </w:rPr>
        <w:t>）</w:t>
      </w:r>
      <w:r>
        <w:rPr>
          <w:rFonts w:ascii="Times New Roman" w:hAnsi="Times New Roman"/>
          <w:snapToGrid w:val="0"/>
          <w:sz w:val="24"/>
          <w:szCs w:val="24"/>
        </w:rPr>
        <w:t>物体的运动</w:t>
      </w:r>
      <w:r>
        <w:rPr>
          <w:rFonts w:hint="eastAsia" w:ascii="Times New Roman" w:hAnsi="Times New Roman"/>
          <w:snapToGrid w:val="0"/>
          <w:sz w:val="24"/>
          <w:szCs w:val="24"/>
        </w:rPr>
        <w:t>（</w:t>
      </w:r>
      <w:r>
        <w:rPr>
          <w:rFonts w:ascii="Times New Roman" w:hAnsi="Times New Roman"/>
          <w:snapToGrid w:val="0"/>
          <w:sz w:val="24"/>
          <w:szCs w:val="24"/>
        </w:rPr>
        <w:t>旋转</w:t>
      </w:r>
      <w:r>
        <w:rPr>
          <w:rFonts w:hint="eastAsia" w:ascii="Times New Roman" w:hAnsi="Times New Roman"/>
          <w:snapToGrid w:val="0"/>
          <w:sz w:val="24"/>
          <w:szCs w:val="24"/>
        </w:rPr>
        <w:t>）</w:t>
      </w:r>
      <w:r>
        <w:rPr>
          <w:rFonts w:ascii="Times New Roman" w:hAnsi="Times New Roman"/>
          <w:snapToGrid w:val="0"/>
          <w:sz w:val="24"/>
          <w:szCs w:val="24"/>
        </w:rPr>
        <w:t>状态，在人的视觉中就会产生静止、倒转、运动</w:t>
      </w:r>
      <w:r>
        <w:rPr>
          <w:rFonts w:hint="eastAsia" w:ascii="Times New Roman" w:hAnsi="Times New Roman"/>
          <w:snapToGrid w:val="0"/>
          <w:sz w:val="24"/>
          <w:szCs w:val="24"/>
        </w:rPr>
        <w:t>（</w:t>
      </w:r>
      <w:r>
        <w:rPr>
          <w:rFonts w:ascii="Times New Roman" w:hAnsi="Times New Roman"/>
          <w:snapToGrid w:val="0"/>
          <w:sz w:val="24"/>
          <w:szCs w:val="24"/>
        </w:rPr>
        <w:t>旋转</w:t>
      </w:r>
      <w:r>
        <w:rPr>
          <w:rFonts w:hint="eastAsia" w:ascii="Times New Roman" w:hAnsi="Times New Roman"/>
          <w:snapToGrid w:val="0"/>
          <w:sz w:val="24"/>
          <w:szCs w:val="24"/>
        </w:rPr>
        <w:t>）</w:t>
      </w:r>
      <w:r>
        <w:rPr>
          <w:rFonts w:ascii="Times New Roman" w:hAnsi="Times New Roman"/>
          <w:snapToGrid w:val="0"/>
          <w:sz w:val="24"/>
          <w:szCs w:val="24"/>
        </w:rPr>
        <w:t>速度缓慢，以及上述三种状态周期性重复的错误视</w:t>
      </w:r>
      <w:r>
        <w:rPr>
          <w:rFonts w:hint="eastAsia" w:ascii="Times New Roman" w:hAnsi="Times New Roman"/>
          <w:snapToGrid w:val="0"/>
          <w:sz w:val="24"/>
          <w:szCs w:val="24"/>
        </w:rPr>
        <w:t>觉，轻则导致视觉疲劳、偏头痛和工作效率的降低，重则引发事故。光通量波动的波动深度越大，负效应越大，危害越严重。</w:t>
      </w:r>
    </w:p>
    <w:p>
      <w:pPr>
        <w:pStyle w:val="4"/>
        <w:snapToGrid w:val="0"/>
        <w:spacing w:line="360" w:lineRule="auto"/>
        <w:ind w:firstLine="480" w:firstLineChars="200"/>
        <w:jc w:val="left"/>
        <w:rPr>
          <w:rFonts w:ascii="Times New Roman" w:hAnsi="Times New Roman"/>
          <w:snapToGrid w:val="0"/>
          <w:sz w:val="24"/>
          <w:szCs w:val="24"/>
        </w:rPr>
      </w:pPr>
      <w:r>
        <w:rPr>
          <w:rFonts w:hint="eastAsia" w:ascii="Times New Roman" w:hAnsi="Times New Roman"/>
          <w:snapToGrid w:val="0"/>
          <w:sz w:val="24"/>
          <w:szCs w:val="24"/>
        </w:rPr>
        <w:t>本条的评价方法为：预评价查阅相关设计文件、计算书；评价查阅相关竣工图、计算书、现场检测报告、产品说明书及产品型式检验报告。</w:t>
      </w:r>
    </w:p>
    <w:p>
      <w:pPr>
        <w:pStyle w:val="18"/>
        <w:spacing w:beforeLines="0" w:line="360" w:lineRule="auto"/>
        <w:ind w:firstLine="0" w:firstLineChars="0"/>
        <w:jc w:val="left"/>
        <w:outlineLvl w:val="9"/>
        <w:rPr>
          <w:rFonts w:hint="eastAsia"/>
          <w:b w:val="0"/>
          <w:szCs w:val="21"/>
        </w:rPr>
      </w:pPr>
      <w:r>
        <w:rPr>
          <w:szCs w:val="21"/>
        </w:rPr>
        <w:t>5.1.6</w:t>
      </w:r>
      <w:r>
        <w:rPr>
          <w:rFonts w:hint="eastAsia"/>
          <w:b w:val="0"/>
          <w:szCs w:val="21"/>
        </w:rPr>
        <w:t xml:space="preserve">  本条适用于各类民用建筑的预评价、评价。</w:t>
      </w:r>
    </w:p>
    <w:p>
      <w:pPr>
        <w:pStyle w:val="18"/>
        <w:spacing w:beforeLines="0" w:line="360" w:lineRule="auto"/>
        <w:ind w:firstLine="480"/>
        <w:jc w:val="left"/>
        <w:outlineLvl w:val="9"/>
        <w:rPr>
          <w:rFonts w:hint="eastAsia"/>
          <w:b w:val="0"/>
          <w:szCs w:val="21"/>
        </w:rPr>
      </w:pPr>
      <w:r>
        <w:rPr>
          <w:rFonts w:hint="eastAsia"/>
          <w:b w:val="0"/>
          <w:szCs w:val="21"/>
        </w:rPr>
        <w:t>本条在本标准2016年版第 8. 1.4 条基础上发展而来。建筑应满足室内热环境舒适度的要求。采用集中供暖空涸系统的建筑，其房间的温度、湿度、新风量等是室内热环境的重要指标，应满足现行国家标准《民用建筑供暖通风与空气调节设计规范》GB 50736 中的有关规定。对于非集中供暖空调系统的建筑，应有保障室内热环境的措施或预留条件，如分体空调安装条件等。</w:t>
      </w:r>
    </w:p>
    <w:p>
      <w:pPr>
        <w:pStyle w:val="18"/>
        <w:spacing w:beforeLines="0" w:line="360" w:lineRule="auto"/>
        <w:ind w:firstLine="480"/>
        <w:jc w:val="left"/>
        <w:outlineLvl w:val="9"/>
        <w:rPr>
          <w:rFonts w:hint="eastAsia"/>
          <w:b w:val="0"/>
          <w:szCs w:val="21"/>
        </w:rPr>
      </w:pPr>
      <w:r>
        <w:rPr>
          <w:rFonts w:hint="eastAsia"/>
          <w:b w:val="0"/>
          <w:szCs w:val="21"/>
        </w:rPr>
        <w:t>本条的评价方法为：预评价查阅相关设计文件；评价查阅相关竣工图、室内温湿度检测报告。</w:t>
      </w:r>
    </w:p>
    <w:p>
      <w:pPr>
        <w:pStyle w:val="18"/>
        <w:spacing w:beforeLines="0" w:line="360" w:lineRule="auto"/>
        <w:ind w:firstLine="0" w:firstLineChars="0"/>
        <w:jc w:val="left"/>
        <w:outlineLvl w:val="9"/>
        <w:rPr>
          <w:rFonts w:hint="eastAsia"/>
          <w:b w:val="0"/>
          <w:szCs w:val="21"/>
        </w:rPr>
      </w:pPr>
      <w:r>
        <w:rPr>
          <w:szCs w:val="21"/>
        </w:rPr>
        <w:t>5.1.7</w:t>
      </w:r>
      <w:r>
        <w:rPr>
          <w:rFonts w:hint="eastAsia"/>
          <w:b w:val="0"/>
          <w:szCs w:val="21"/>
        </w:rPr>
        <w:t xml:space="preserve">  本条适用各类民用建筑的预评价、评价。</w:t>
      </w:r>
    </w:p>
    <w:p>
      <w:pPr>
        <w:pStyle w:val="18"/>
        <w:spacing w:beforeLines="0" w:line="360" w:lineRule="auto"/>
        <w:ind w:firstLine="480"/>
        <w:jc w:val="left"/>
        <w:outlineLvl w:val="9"/>
        <w:rPr>
          <w:rFonts w:hint="eastAsia"/>
          <w:b w:val="0"/>
          <w:szCs w:val="21"/>
        </w:rPr>
      </w:pPr>
      <w:r>
        <w:rPr>
          <w:rFonts w:hint="eastAsia"/>
          <w:b w:val="0"/>
          <w:szCs w:val="21"/>
        </w:rPr>
        <w:t>本条在本标准2016年版第8.1.5、8.1.6条基础上发展而来。</w:t>
      </w:r>
    </w:p>
    <w:p>
      <w:pPr>
        <w:pStyle w:val="18"/>
        <w:spacing w:beforeLines="0" w:line="360" w:lineRule="auto"/>
        <w:ind w:firstLine="480"/>
        <w:jc w:val="left"/>
        <w:outlineLvl w:val="9"/>
        <w:rPr>
          <w:rFonts w:hint="eastAsia"/>
          <w:b w:val="0"/>
          <w:szCs w:val="21"/>
        </w:rPr>
      </w:pPr>
      <w:r>
        <w:rPr>
          <w:rFonts w:hint="eastAsia"/>
          <w:b w:val="0"/>
          <w:szCs w:val="21"/>
        </w:rPr>
        <w:t>民用建筑的热工设计与地区气候相适应，保证室内基本的热环境要求。建筑热工设计主要包括建筑物及其围护结构的保温、防热和防潮设计。</w:t>
      </w:r>
    </w:p>
    <w:p>
      <w:pPr>
        <w:pStyle w:val="18"/>
        <w:spacing w:beforeLines="0" w:line="360" w:lineRule="auto"/>
        <w:ind w:firstLine="480"/>
        <w:jc w:val="left"/>
        <w:outlineLvl w:val="9"/>
        <w:rPr>
          <w:rFonts w:hint="eastAsia"/>
          <w:b w:val="0"/>
          <w:szCs w:val="21"/>
        </w:rPr>
      </w:pPr>
      <w:r>
        <w:rPr>
          <w:rFonts w:hint="eastAsia"/>
          <w:b w:val="0"/>
          <w:szCs w:val="21"/>
        </w:rPr>
        <w:t>第1款，房间内表面长期或经常结露会引起霉变，污染室内的空气，应加以控制。在南方的梅雨季节，空气的湿度接近饱和，要彻底避免发生结露现象非常困难，不属于本条控制范畴。另外，短时间的结露并不至于引起霉变，所以本条控制“在室内设计温度、湿度”这一前提条件下不结露。建筑非透光围护结构内表面，以及热桥部分的内表面应满足现行国家标准《民用建筑热工设计规范》GB50176 的要求，并进行防结露验算。</w:t>
      </w:r>
    </w:p>
    <w:p>
      <w:pPr>
        <w:pStyle w:val="18"/>
        <w:spacing w:beforeLines="0" w:line="360" w:lineRule="auto"/>
        <w:ind w:firstLine="480"/>
        <w:jc w:val="left"/>
        <w:outlineLvl w:val="9"/>
        <w:rPr>
          <w:rFonts w:hint="eastAsia"/>
          <w:b w:val="0"/>
          <w:szCs w:val="21"/>
        </w:rPr>
      </w:pPr>
      <w:r>
        <w:rPr>
          <w:rFonts w:hint="eastAsia"/>
          <w:b w:val="0"/>
          <w:szCs w:val="21"/>
        </w:rPr>
        <w:t>第2款，建筑围护结构在使用过程中，当围护结构两侧出现温度与湿度差时，会造成围护结构内部温湿度的重新分布。若围护结构内部某处温度低于了空气露点温度，围护结构内部空气中的水分或渗入围护结构内部的空气中的水分将发生冷凝。因此，应防止水蒸气渗透进入围护结构内部，并控制围护结构内部不产生冷凝。供暖建筑的外墙、屋面应根据现行国家标准《民用建筑热工设计规范》GB50176的要求，进行内部冷凝验算。</w:t>
      </w:r>
    </w:p>
    <w:p>
      <w:pPr>
        <w:pStyle w:val="18"/>
        <w:spacing w:beforeLines="0" w:line="360" w:lineRule="auto"/>
        <w:ind w:firstLine="480"/>
        <w:jc w:val="left"/>
        <w:outlineLvl w:val="9"/>
        <w:rPr>
          <w:rFonts w:hint="eastAsia"/>
          <w:b w:val="0"/>
          <w:szCs w:val="21"/>
        </w:rPr>
      </w:pPr>
      <w:r>
        <w:rPr>
          <w:rFonts w:hint="eastAsia"/>
          <w:b w:val="0"/>
          <w:szCs w:val="21"/>
        </w:rPr>
        <w:t>第3款，屋顶和外墙的隔热性能，对于建筑在夏季时室内热舒适度的改善，以及空调负荷的降低，具有重要意义。屋顶和外墙的热工性能不仅要满足国家现行建筑节能标准的要求，也要满足现行国家标准《民用建筑热工设计规范》GB50176的要求，并进行隔热性能验算。</w:t>
      </w:r>
    </w:p>
    <w:p>
      <w:pPr>
        <w:pStyle w:val="18"/>
        <w:spacing w:beforeLines="0" w:line="360" w:lineRule="auto"/>
        <w:ind w:firstLine="480"/>
        <w:jc w:val="left"/>
        <w:outlineLvl w:val="9"/>
        <w:rPr>
          <w:rFonts w:hint="eastAsia"/>
          <w:b w:val="0"/>
          <w:szCs w:val="21"/>
        </w:rPr>
      </w:pPr>
      <w:r>
        <w:rPr>
          <w:rFonts w:hint="eastAsia"/>
          <w:b w:val="0"/>
          <w:szCs w:val="21"/>
        </w:rPr>
        <w:t>本条的评价方法为：预评价查阅相关设计文件、建筑围护结构防结露验算报告、隔热性能验算报告、内部冷凝验算报告；评价查阅相关竣工图，检查建筑构造与计算报告一致性。</w:t>
      </w:r>
    </w:p>
    <w:p>
      <w:pPr>
        <w:pStyle w:val="18"/>
        <w:spacing w:beforeLines="0" w:line="360" w:lineRule="auto"/>
        <w:ind w:firstLine="0" w:firstLineChars="0"/>
        <w:jc w:val="left"/>
        <w:outlineLvl w:val="9"/>
        <w:rPr>
          <w:rFonts w:hint="eastAsia"/>
          <w:b w:val="0"/>
          <w:szCs w:val="21"/>
        </w:rPr>
      </w:pPr>
      <w:r>
        <w:rPr>
          <w:szCs w:val="21"/>
        </w:rPr>
        <w:t>5.1.8</w:t>
      </w:r>
      <w:r>
        <w:rPr>
          <w:rFonts w:hint="eastAsia"/>
          <w:b w:val="0"/>
          <w:szCs w:val="21"/>
        </w:rPr>
        <w:t xml:space="preserve">  本条适用千各类民用建筑的预评价、评价。</w:t>
      </w:r>
    </w:p>
    <w:p>
      <w:pPr>
        <w:pStyle w:val="18"/>
        <w:spacing w:beforeLines="0" w:line="360" w:lineRule="auto"/>
        <w:ind w:firstLine="480"/>
        <w:jc w:val="left"/>
        <w:outlineLvl w:val="9"/>
        <w:rPr>
          <w:rFonts w:hint="eastAsia"/>
          <w:b w:val="0"/>
          <w:szCs w:val="21"/>
        </w:rPr>
      </w:pPr>
      <w:r>
        <w:rPr>
          <w:rFonts w:hint="eastAsia"/>
          <w:b w:val="0"/>
          <w:szCs w:val="21"/>
        </w:rPr>
        <w:t>本条在本标准2016年版第 8.2.9 条基础上发展而来。本条文强调用户个体对室内热舒适的调控性。采用个性化热环境调节装置可以满足不同人员对热舒适的差异化需求，从而最大限度地改善个体热舒适性，提高室内人员对室内热环境的满意率。</w:t>
      </w:r>
    </w:p>
    <w:p>
      <w:pPr>
        <w:pStyle w:val="18"/>
        <w:spacing w:beforeLines="0" w:line="360" w:lineRule="auto"/>
        <w:ind w:firstLine="480"/>
        <w:jc w:val="left"/>
        <w:outlineLvl w:val="9"/>
        <w:rPr>
          <w:rFonts w:hint="eastAsia"/>
          <w:b w:val="0"/>
          <w:szCs w:val="21"/>
        </w:rPr>
      </w:pPr>
      <w:r>
        <w:rPr>
          <w:rFonts w:hint="eastAsia"/>
          <w:b w:val="0"/>
          <w:szCs w:val="21"/>
        </w:rPr>
        <w:t>对于采用集中供暖空调系统的建筑，应根据房间、区域的功能和所采用的系统形式，合理设置可现场独立调节的热环境调节装置。对于未采用集中供暖空调系统的建筑，应合理设计建筑热环境营造方案，具备满足个性化热舒适需求的可独立控制的热环境调节装置或功能。</w:t>
      </w:r>
    </w:p>
    <w:p>
      <w:pPr>
        <w:pStyle w:val="18"/>
        <w:spacing w:beforeLines="0" w:line="360" w:lineRule="auto"/>
        <w:ind w:firstLine="480"/>
        <w:jc w:val="left"/>
        <w:outlineLvl w:val="9"/>
        <w:rPr>
          <w:rFonts w:hint="eastAsia"/>
          <w:b w:val="0"/>
          <w:szCs w:val="21"/>
        </w:rPr>
      </w:pPr>
      <w:r>
        <w:rPr>
          <w:rFonts w:hint="eastAsia"/>
          <w:b w:val="0"/>
          <w:szCs w:val="21"/>
        </w:rPr>
        <w:t>本条的评价方法为：预评价查阅相关设计文件；评价查阅相关竣工图、产品说明书。</w:t>
      </w:r>
    </w:p>
    <w:p>
      <w:pPr>
        <w:spacing w:line="360" w:lineRule="auto"/>
        <w:rPr>
          <w:rFonts w:hint="eastAsia"/>
          <w:sz w:val="24"/>
          <w:szCs w:val="24"/>
        </w:rPr>
      </w:pPr>
      <w:r>
        <w:rPr>
          <w:b/>
          <w:sz w:val="24"/>
          <w:szCs w:val="24"/>
        </w:rPr>
        <w:t>5.1.9</w:t>
      </w:r>
      <w:r>
        <w:rPr>
          <w:rFonts w:hint="eastAsia"/>
          <w:sz w:val="24"/>
          <w:szCs w:val="24"/>
        </w:rPr>
        <w:t xml:space="preserve">  本条适用于各类民用建筑的预评价、评价。</w:t>
      </w:r>
    </w:p>
    <w:p>
      <w:pPr>
        <w:spacing w:line="360" w:lineRule="auto"/>
        <w:ind w:firstLine="480" w:firstLineChars="200"/>
        <w:rPr>
          <w:rFonts w:hint="eastAsia"/>
          <w:sz w:val="24"/>
          <w:szCs w:val="24"/>
        </w:rPr>
      </w:pPr>
      <w:r>
        <w:rPr>
          <w:rFonts w:hint="eastAsia"/>
          <w:sz w:val="24"/>
          <w:szCs w:val="24"/>
        </w:rPr>
        <w:t>本条沿用本标准 2016年版第 8.2. 13 条。地下车库空气流通不好，容易导致有害气体浓度过大，对人体造成伤害。有地下车库的建筑，车库设置与排风设备联动的一氧化碳检测装置，超过一定的量值时即报警并启动排风系统。所设定的量值可参考现行国家标准《工作场所有害因素职业接触限值 第 1 部分：化学有害因素》 GBZ 2. 1 等相关标准的规定。</w:t>
      </w:r>
    </w:p>
    <w:p>
      <w:pPr>
        <w:spacing w:line="360" w:lineRule="auto"/>
        <w:ind w:firstLine="480" w:firstLineChars="200"/>
        <w:rPr>
          <w:rFonts w:hint="eastAsia"/>
          <w:sz w:val="24"/>
          <w:szCs w:val="24"/>
        </w:rPr>
      </w:pPr>
      <w:r>
        <w:rPr>
          <w:rFonts w:hint="eastAsia"/>
          <w:sz w:val="24"/>
          <w:szCs w:val="24"/>
        </w:rPr>
        <w:t>对于未设置地下车库的项目，本条不参评。</w:t>
      </w:r>
    </w:p>
    <w:p>
      <w:pPr>
        <w:pStyle w:val="18"/>
        <w:spacing w:beforeLines="0" w:line="360" w:lineRule="auto"/>
        <w:ind w:firstLine="480"/>
        <w:jc w:val="left"/>
        <w:outlineLvl w:val="9"/>
        <w:rPr>
          <w:rFonts w:hint="eastAsia"/>
          <w:b w:val="0"/>
        </w:rPr>
      </w:pPr>
      <w:r>
        <w:rPr>
          <w:rFonts w:hint="eastAsia"/>
          <w:b w:val="0"/>
        </w:rPr>
        <w:t>本条的评价方法为：预评价查阅相关设计文件；评价查阅相关竣工图、运行记录。</w:t>
      </w:r>
    </w:p>
    <w:p>
      <w:pPr>
        <w:pStyle w:val="18"/>
        <w:spacing w:beforeLines="0" w:line="360" w:lineRule="auto"/>
        <w:ind w:firstLine="480"/>
        <w:jc w:val="left"/>
        <w:outlineLvl w:val="9"/>
        <w:rPr>
          <w:rFonts w:hint="eastAsia"/>
          <w:b w:val="0"/>
        </w:rPr>
      </w:pPr>
    </w:p>
    <w:p>
      <w:pPr>
        <w:pStyle w:val="18"/>
        <w:spacing w:beforeLines="0" w:line="360" w:lineRule="auto"/>
        <w:ind w:firstLine="0" w:firstLineChars="0"/>
        <w:rPr>
          <w:szCs w:val="21"/>
        </w:rPr>
      </w:pPr>
      <w:r>
        <w:rPr>
          <w:rFonts w:hint="eastAsia"/>
          <w:szCs w:val="21"/>
        </w:rPr>
        <w:t xml:space="preserve">5.2  </w:t>
      </w:r>
      <w:r>
        <w:rPr>
          <w:rFonts w:hint="eastAsia"/>
        </w:rPr>
        <w:t>评 分 项</w:t>
      </w:r>
    </w:p>
    <w:p>
      <w:pPr>
        <w:spacing w:line="360" w:lineRule="auto"/>
        <w:ind w:firstLine="560" w:firstLineChars="200"/>
        <w:jc w:val="center"/>
        <w:rPr>
          <w:rFonts w:eastAsia="仿宋"/>
          <w:sz w:val="28"/>
          <w:szCs w:val="28"/>
        </w:rPr>
      </w:pPr>
      <w:r>
        <w:rPr>
          <w:rFonts w:hint="eastAsia" w:eastAsia="仿宋"/>
          <w:sz w:val="28"/>
          <w:szCs w:val="28"/>
        </w:rPr>
        <w:t>I 室内空气品质</w:t>
      </w:r>
    </w:p>
    <w:p>
      <w:pPr>
        <w:pStyle w:val="18"/>
        <w:spacing w:beforeLines="0" w:line="360" w:lineRule="auto"/>
        <w:ind w:firstLine="0" w:firstLineChars="0"/>
        <w:jc w:val="left"/>
        <w:outlineLvl w:val="9"/>
        <w:rPr>
          <w:rFonts w:hint="eastAsia"/>
          <w:b w:val="0"/>
        </w:rPr>
      </w:pPr>
      <w:r>
        <w:t>5.2.1</w:t>
      </w:r>
      <w:r>
        <w:rPr>
          <w:rFonts w:hint="eastAsia"/>
          <w:b w:val="0"/>
        </w:rPr>
        <w:t xml:space="preserve">  本条适用于各类民用建筑的预评价、评价。</w:t>
      </w:r>
    </w:p>
    <w:p>
      <w:pPr>
        <w:pStyle w:val="18"/>
        <w:spacing w:beforeLines="0" w:line="360" w:lineRule="auto"/>
        <w:ind w:firstLine="480"/>
        <w:jc w:val="left"/>
        <w:outlineLvl w:val="9"/>
        <w:rPr>
          <w:rFonts w:hint="eastAsia"/>
          <w:b w:val="0"/>
        </w:rPr>
      </w:pPr>
      <w:r>
        <w:rPr>
          <w:rFonts w:hint="eastAsia"/>
          <w:b w:val="0"/>
        </w:rPr>
        <w:t>本条在本标准2016年版第11.2.7条基础上发展而来。</w:t>
      </w:r>
    </w:p>
    <w:p>
      <w:pPr>
        <w:pStyle w:val="18"/>
        <w:spacing w:beforeLines="0" w:line="360" w:lineRule="auto"/>
        <w:ind w:firstLine="480"/>
        <w:jc w:val="left"/>
        <w:outlineLvl w:val="9"/>
        <w:rPr>
          <w:rFonts w:hint="eastAsia"/>
          <w:b w:val="0"/>
        </w:rPr>
      </w:pPr>
      <w:r>
        <w:rPr>
          <w:rFonts w:hint="eastAsia"/>
          <w:b w:val="0"/>
        </w:rPr>
        <w:t>第1款，在本标准第5.1.1条基础上对室内空气污染物的浓度提出了更高的要求。具体预评估方法详见本标准第5.1.1条的条文说明。预评价时，可仅对甲醒、苯、总挥发性有机物进行浓度预评估。</w:t>
      </w:r>
    </w:p>
    <w:p>
      <w:pPr>
        <w:pStyle w:val="18"/>
        <w:spacing w:beforeLines="0" w:line="360" w:lineRule="auto"/>
        <w:ind w:firstLine="480"/>
        <w:jc w:val="left"/>
        <w:outlineLvl w:val="9"/>
        <w:rPr>
          <w:rFonts w:hint="eastAsia"/>
          <w:b w:val="0"/>
        </w:rPr>
      </w:pPr>
      <w:r>
        <w:rPr>
          <w:rFonts w:hint="eastAsia"/>
          <w:b w:val="0"/>
        </w:rPr>
        <w:t>第2款，对颗粒物浓度限值进行了规定。预评价时，全装修项目可通过建筑设计因素（门窗渗透风量、新风量、净化设备效率、室内源等）及室外颗粒物水平（建筑所在地近一年环境大气监测数据），对建筑内部颗粒物浓度进行估算。预评价的计算方法可参考现行行业标准《公共建筑室内空气质量控制设计标准》JGJ/T461中室内空气质量设计计算的相关规定。评价时，建筑内应具有颗粒物浓度监测传感设备，至少每小时对建筑内颗粒物浓度进行一次记录、存储，连续监测一年后取算术平均值，并出具报告。对于住宅建筑，应对每种户型主要功能房间进行全年监测；对于公共建筑，应每层选取一个主要功能房间进行全年监测。对于尚未投入使用或投入使用未满一年的项目，应对室内PM</w:t>
      </w:r>
      <w:r>
        <w:rPr>
          <w:rFonts w:hint="eastAsia"/>
          <w:b w:val="0"/>
          <w:sz w:val="21"/>
          <w:szCs w:val="21"/>
        </w:rPr>
        <w:t>2.5</w:t>
      </w:r>
      <w:r>
        <w:rPr>
          <w:rFonts w:hint="eastAsia"/>
          <w:b w:val="0"/>
        </w:rPr>
        <w:t>和PM</w:t>
      </w:r>
      <w:r>
        <w:rPr>
          <w:rFonts w:hint="eastAsia"/>
          <w:b w:val="0"/>
          <w:sz w:val="21"/>
          <w:szCs w:val="21"/>
        </w:rPr>
        <w:t>10</w:t>
      </w:r>
      <w:r>
        <w:rPr>
          <w:rFonts w:hint="eastAsia"/>
          <w:b w:val="0"/>
        </w:rPr>
        <w:t>的年平均浓度进行预评估。</w:t>
      </w:r>
    </w:p>
    <w:p>
      <w:pPr>
        <w:pStyle w:val="18"/>
        <w:spacing w:beforeLines="0" w:line="360" w:lineRule="auto"/>
        <w:ind w:firstLine="480"/>
        <w:jc w:val="left"/>
        <w:outlineLvl w:val="9"/>
        <w:rPr>
          <w:rFonts w:hint="eastAsia"/>
          <w:b w:val="0"/>
        </w:rPr>
      </w:pPr>
      <w:r>
        <w:rPr>
          <w:rFonts w:hint="eastAsia"/>
          <w:b w:val="0"/>
        </w:rPr>
        <w:t>本条的评价方法为：预评价查阅相关设计文件、建筑材料使用说明（种类、用量）、污染物浓度预评估分析报告；评价查阅相关竣工图、建筑材料使用说明（种类、用量）、污染物浓度预评估分析报告，投入使用的项目尚应查阅室内空气质量现场检测报告、PM2.5和PM10浓度计算报告（附原始监测数据）。</w:t>
      </w:r>
    </w:p>
    <w:p>
      <w:pPr>
        <w:pStyle w:val="18"/>
        <w:spacing w:beforeLines="0" w:line="360" w:lineRule="auto"/>
        <w:ind w:firstLine="0" w:firstLineChars="0"/>
        <w:jc w:val="left"/>
        <w:outlineLvl w:val="9"/>
        <w:rPr>
          <w:rFonts w:hint="eastAsia"/>
          <w:b w:val="0"/>
        </w:rPr>
      </w:pPr>
      <w:r>
        <w:t>5.2.2</w:t>
      </w:r>
      <w:r>
        <w:rPr>
          <w:rFonts w:hint="eastAsia"/>
          <w:b w:val="0"/>
        </w:rPr>
        <w:t xml:space="preserve">  本条适用于各类民用建筑的预评价、评价。</w:t>
      </w:r>
    </w:p>
    <w:p>
      <w:pPr>
        <w:pStyle w:val="18"/>
        <w:spacing w:beforeLines="0" w:line="360" w:lineRule="auto"/>
        <w:ind w:firstLine="480"/>
        <w:jc w:val="left"/>
        <w:outlineLvl w:val="9"/>
        <w:rPr>
          <w:rFonts w:hint="eastAsia"/>
          <w:b w:val="0"/>
        </w:rPr>
      </w:pPr>
      <w:r>
        <w:rPr>
          <w:rFonts w:hint="eastAsia"/>
          <w:b w:val="0"/>
        </w:rPr>
        <w:t>本条为新增条文。从源头把控，选用绿色、环保、安全的室内装饰装修材料是保障室内空气质量的基本手段。为提升家装消费品质量，满足人民日益增长的对健康生活的追求，有关部门于2017年12月8日发布了包括内墙涂覆材料、木器漆、地坪涂料、壁纸、陶瓷砖、卫生陶瓷、人造板和木质地板、防水涂料、密封胶、家具等产品在内的绿色产品评价系列国家标准。如现行国家标准《绿色产品评价涂料》GB/T35602、《绿色产品评价纸和纸制品》GB/T35613、《绿色产品评价陶瓷砖（板）》GB/T35610、《绿色产品评价人造板和木质地板》GB/T35601、《绿色产品评价防水与密封材料》GB/T35609等，对产品中有害物质种类及限量进行了严格、明确的规定。其他装饰装修材料，其有害物质限量同样应符合现行有关标准的规定。</w:t>
      </w:r>
    </w:p>
    <w:p>
      <w:pPr>
        <w:pStyle w:val="18"/>
        <w:spacing w:beforeLines="0" w:line="360" w:lineRule="auto"/>
        <w:ind w:firstLine="480"/>
        <w:jc w:val="left"/>
        <w:outlineLvl w:val="9"/>
        <w:rPr>
          <w:rFonts w:hint="eastAsia"/>
          <w:b w:val="0"/>
        </w:rPr>
      </w:pPr>
      <w:r>
        <w:rPr>
          <w:rFonts w:hint="eastAsia"/>
          <w:b w:val="0"/>
        </w:rPr>
        <w:t>本条的评价方法为：预评价查阅相关设计文件；评价查阅相关竣工图、工程决算材料清单、产品检验报告。</w:t>
      </w:r>
    </w:p>
    <w:p>
      <w:pPr>
        <w:spacing w:line="360" w:lineRule="auto"/>
        <w:ind w:firstLine="560" w:firstLineChars="200"/>
        <w:jc w:val="center"/>
        <w:rPr>
          <w:rFonts w:hint="eastAsia" w:eastAsia="仿宋"/>
          <w:sz w:val="28"/>
          <w:szCs w:val="28"/>
        </w:rPr>
      </w:pPr>
      <w:r>
        <w:rPr>
          <w:rFonts w:hint="eastAsia" w:eastAsia="仿宋"/>
          <w:sz w:val="28"/>
          <w:szCs w:val="28"/>
        </w:rPr>
        <w:t>Ⅱ 水质</w:t>
      </w:r>
    </w:p>
    <w:p>
      <w:pPr>
        <w:pStyle w:val="18"/>
        <w:spacing w:beforeLines="0" w:line="360" w:lineRule="auto"/>
        <w:ind w:firstLine="0" w:firstLineChars="0"/>
        <w:jc w:val="left"/>
        <w:outlineLvl w:val="9"/>
        <w:rPr>
          <w:rFonts w:hint="eastAsia"/>
          <w:b w:val="0"/>
        </w:rPr>
      </w:pPr>
      <w:r>
        <w:t>5.2.3</w:t>
      </w:r>
      <w:r>
        <w:rPr>
          <w:rFonts w:hint="eastAsia"/>
        </w:rPr>
        <w:t xml:space="preserve"> </w:t>
      </w:r>
      <w:r>
        <w:rPr>
          <w:rFonts w:hint="eastAsia"/>
          <w:b w:val="0"/>
        </w:rPr>
        <w:t>本条适用于各类民用建筑的预评价、评价。</w:t>
      </w:r>
    </w:p>
    <w:p>
      <w:pPr>
        <w:pStyle w:val="18"/>
        <w:spacing w:beforeLines="0" w:line="360" w:lineRule="auto"/>
        <w:ind w:firstLine="480"/>
        <w:jc w:val="left"/>
        <w:outlineLvl w:val="9"/>
        <w:rPr>
          <w:rFonts w:hint="eastAsia"/>
          <w:b w:val="0"/>
        </w:rPr>
      </w:pPr>
      <w:r>
        <w:rPr>
          <w:rFonts w:hint="eastAsia"/>
          <w:b w:val="0"/>
        </w:rPr>
        <w:t>本条为新增条文。</w:t>
      </w:r>
    </w:p>
    <w:p>
      <w:pPr>
        <w:pStyle w:val="18"/>
        <w:spacing w:beforeLines="0" w:line="360" w:lineRule="auto"/>
        <w:ind w:firstLine="480"/>
        <w:jc w:val="left"/>
        <w:outlineLvl w:val="9"/>
        <w:rPr>
          <w:rFonts w:hint="eastAsia"/>
          <w:b w:val="0"/>
        </w:rPr>
      </w:pPr>
      <w:r>
        <w:rPr>
          <w:rFonts w:hint="eastAsia"/>
          <w:b w:val="0"/>
        </w:rPr>
        <w:t>当项目中除生活饮用水供水系统外，未设置其他供水系统时，本条可直接得分。</w:t>
      </w:r>
    </w:p>
    <w:p>
      <w:pPr>
        <w:pStyle w:val="18"/>
        <w:spacing w:beforeLines="0" w:line="360" w:lineRule="auto"/>
        <w:ind w:firstLine="480"/>
        <w:jc w:val="left"/>
        <w:outlineLvl w:val="9"/>
        <w:rPr>
          <w:rFonts w:hint="eastAsia"/>
          <w:b w:val="0"/>
        </w:rPr>
      </w:pPr>
      <w:r>
        <w:rPr>
          <w:rFonts w:hint="eastAsia"/>
          <w:b w:val="0"/>
        </w:rPr>
        <w:t>直饮水是以符合现行国家标准《生活饮用水卫生标准》GB 5749水质标准的自来水或水源为原水，经再净化（深度处理）后供给用户直接饮用的高品质饮用水。直饮水系统分为集中供水的管道直饮水系统和分散供水的终端直饮水处理设备。管道直饮水系统供水水质应符合现行行业标准《饮用净水水质标准》CJ 94的要求，该标准规定了管道直饮水系统水质标准，主要包含感官性状、一般化学指标、毒理学指标和细菌学指标等项目；终端直饮水处理设备的出水水质标准可参考现行行业标准《饮用净水水质标准》CJ 94、《全自动连续微/超滤净水装置》HG/T 4111等现行饮用净水相关水质标准和设备标准。</w:t>
      </w:r>
    </w:p>
    <w:p>
      <w:pPr>
        <w:pStyle w:val="18"/>
        <w:spacing w:beforeLines="0" w:line="360" w:lineRule="auto"/>
        <w:ind w:firstLine="480"/>
        <w:jc w:val="left"/>
        <w:outlineLvl w:val="9"/>
        <w:rPr>
          <w:rFonts w:hint="eastAsia"/>
          <w:b w:val="0"/>
        </w:rPr>
      </w:pPr>
      <w:r>
        <w:rPr>
          <w:rFonts w:hint="eastAsia"/>
          <w:b w:val="0"/>
        </w:rPr>
        <w:t>以符合现行国家标准《生活饮用水卫生标准》GB 5749要求的自来水或水源为原水的集中生活热水，其水质还应符合现行行业标准《生活热水水质标准》CJ/T 521的要求。</w:t>
      </w:r>
    </w:p>
    <w:p>
      <w:pPr>
        <w:pStyle w:val="18"/>
        <w:spacing w:beforeLines="0" w:line="360" w:lineRule="auto"/>
        <w:ind w:firstLine="480"/>
        <w:jc w:val="left"/>
        <w:outlineLvl w:val="9"/>
        <w:rPr>
          <w:rFonts w:hint="eastAsia"/>
          <w:b w:val="0"/>
        </w:rPr>
      </w:pPr>
      <w:r>
        <w:rPr>
          <w:rFonts w:hint="eastAsia"/>
          <w:b w:val="0"/>
        </w:rPr>
        <w:t>游泳池循环水处理系统水质应满足现行行业标准《游泳池水质标准》CJ 244的要求，该标准在游泳池原水和补水水质指标、水质检验等方面做出了规定。</w:t>
      </w:r>
    </w:p>
    <w:p>
      <w:pPr>
        <w:pStyle w:val="18"/>
        <w:spacing w:beforeLines="0" w:line="360" w:lineRule="auto"/>
        <w:ind w:firstLine="480"/>
        <w:jc w:val="left"/>
        <w:outlineLvl w:val="9"/>
        <w:rPr>
          <w:rFonts w:hint="eastAsia"/>
          <w:b w:val="0"/>
        </w:rPr>
      </w:pPr>
      <w:r>
        <w:rPr>
          <w:rFonts w:hint="eastAsia"/>
          <w:b w:val="0"/>
        </w:rPr>
        <w:t>采暖空调循环水系统水质应满足现行国家标准《采暖空调系统水质》GB/T29044的要求，该标准规定了采暖空调系统的水质标准、水质检测频次及检测方法。</w:t>
      </w:r>
    </w:p>
    <w:p>
      <w:pPr>
        <w:pStyle w:val="18"/>
        <w:spacing w:beforeLines="0" w:line="360" w:lineRule="auto"/>
        <w:ind w:firstLine="480"/>
        <w:jc w:val="left"/>
        <w:outlineLvl w:val="9"/>
        <w:rPr>
          <w:rFonts w:hint="eastAsia"/>
          <w:b w:val="0"/>
        </w:rPr>
      </w:pPr>
      <w:r>
        <w:rPr>
          <w:rFonts w:hint="eastAsia"/>
          <w:b w:val="0"/>
        </w:rPr>
        <w:t>《民用建筑节水设计标准》GB 50555-2010规定景观用水水源不得采用市政自来水和地下井水，可采用中水、雨水等非传统水源或地表水。当景观补水采用非传统水源时，水质应满足现行国家标准《城市污水再生利用 景观环境用水》GB/T18921的要求。当景观水体用于全身接触、娱乐性用途时，即可能全身浸入水中进行嬉水、游泳等活动，如旱喷泉、嬉水喷泉等，水质应满足现行国家标准《生活饮用水卫生标准》GB 5749的要求。</w:t>
      </w:r>
    </w:p>
    <w:p>
      <w:pPr>
        <w:pStyle w:val="18"/>
        <w:spacing w:beforeLines="0" w:line="360" w:lineRule="auto"/>
        <w:ind w:firstLine="480"/>
        <w:jc w:val="left"/>
        <w:outlineLvl w:val="9"/>
        <w:rPr>
          <w:rFonts w:hint="eastAsia"/>
          <w:b w:val="0"/>
        </w:rPr>
      </w:pPr>
      <w:r>
        <w:rPr>
          <w:rFonts w:hint="eastAsia"/>
          <w:b w:val="0"/>
        </w:rPr>
        <w:t>非传统水源供水系统水质，应根据不同用途的用水满足现行国家标准城市污水再生利用系列标准，如现行国家标准《城市污水再生利用城市杂用水水质》GB/T 18920、《城市污水再生利用绿地灌溉水质》GB/T 25499、《城市污水再生利用景观环境用水水质》GB/T 18921等的要求。设有模块化户内中水集成系统的项目，户内中水水质应满足现行行业标准《模块化户内中水集成系统技术规程》JGJ/T 409的要求。</w:t>
      </w:r>
    </w:p>
    <w:p>
      <w:pPr>
        <w:pStyle w:val="18"/>
        <w:spacing w:beforeLines="0" w:line="360" w:lineRule="auto"/>
        <w:ind w:firstLine="480"/>
        <w:jc w:val="left"/>
        <w:outlineLvl w:val="9"/>
        <w:rPr>
          <w:b w:val="0"/>
        </w:rPr>
      </w:pPr>
      <w:r>
        <w:rPr>
          <w:rFonts w:hint="eastAsia"/>
          <w:b w:val="0"/>
        </w:rPr>
        <w:t>本条的评价方法为：预评价查阅包含各类用水水质要求的给水排水施工图设计说明、水处理设备工艺设计图等设计文件，市政供水的水质检测报告（可使用同一水源邻近项目一年以内的水质检测报告代替）。评价查阅预评价方式涉及的竣工文件，还查阅各类用水的水质检测报告，报告取样点至少应包含水源（市政供水、自备井水等）、水处理设施出水及最不利用水点。</w:t>
      </w:r>
    </w:p>
    <w:p>
      <w:pPr>
        <w:pStyle w:val="18"/>
        <w:spacing w:beforeLines="0" w:line="360" w:lineRule="auto"/>
        <w:ind w:firstLine="0" w:firstLineChars="0"/>
        <w:jc w:val="left"/>
        <w:outlineLvl w:val="9"/>
        <w:rPr>
          <w:rFonts w:hint="eastAsia"/>
          <w:b w:val="0"/>
        </w:rPr>
      </w:pPr>
      <w:r>
        <w:t>5.2.4</w:t>
      </w:r>
      <w:r>
        <w:rPr>
          <w:rFonts w:hint="eastAsia"/>
          <w:b w:val="0"/>
        </w:rPr>
        <w:t xml:space="preserve">  本条适用于各类民用建筑的预评价、评价。</w:t>
      </w:r>
    </w:p>
    <w:p>
      <w:pPr>
        <w:pStyle w:val="18"/>
        <w:spacing w:beforeLines="0" w:line="360" w:lineRule="auto"/>
        <w:ind w:firstLine="480"/>
        <w:jc w:val="left"/>
        <w:outlineLvl w:val="9"/>
        <w:rPr>
          <w:rFonts w:hint="eastAsia"/>
          <w:b w:val="0"/>
        </w:rPr>
      </w:pPr>
      <w:r>
        <w:rPr>
          <w:rFonts w:hint="eastAsia"/>
          <w:b w:val="0"/>
        </w:rPr>
        <w:t>本条为新增条文。</w:t>
      </w:r>
    </w:p>
    <w:p>
      <w:pPr>
        <w:pStyle w:val="18"/>
        <w:spacing w:beforeLines="0" w:line="360" w:lineRule="auto"/>
        <w:ind w:firstLine="480"/>
        <w:jc w:val="left"/>
        <w:outlineLvl w:val="9"/>
        <w:rPr>
          <w:rFonts w:hint="eastAsia"/>
          <w:b w:val="0"/>
        </w:rPr>
      </w:pPr>
      <w:r>
        <w:rPr>
          <w:rFonts w:hint="eastAsia"/>
          <w:b w:val="0"/>
        </w:rPr>
        <w:t>如项目未设置生活饮用水储水设施，本条可直接得分。</w:t>
      </w:r>
    </w:p>
    <w:p>
      <w:pPr>
        <w:pStyle w:val="18"/>
        <w:spacing w:beforeLines="0" w:line="360" w:lineRule="auto"/>
        <w:ind w:firstLine="480"/>
        <w:jc w:val="left"/>
        <w:outlineLvl w:val="9"/>
        <w:rPr>
          <w:rFonts w:hint="eastAsia"/>
          <w:b w:val="0"/>
        </w:rPr>
      </w:pPr>
      <w:r>
        <w:rPr>
          <w:rFonts w:hint="eastAsia"/>
          <w:b w:val="0"/>
        </w:rPr>
        <w:t>第1款，现行国家标准《二次供水设施卫生规范》GB 17051和现行行业标准《二次供水工程技术规程》CJJ 140规定了建筑二次供水设施的卫生要求和水质检测方法，建筑二次供水设施的设计、生产、加工、施工、使用和管理均应符合该规范。使用符合现行国家标准《二次供水设施卫生规范》GB 17051和现行行业标准《二次供水工程技术规程》CJJ 140要求的成品水箱，能够有效避免现场加工过程中的污染问题，且在安全生产、品质控制、减少误差等方面均较现场加工更有优势。</w:t>
      </w:r>
    </w:p>
    <w:p>
      <w:pPr>
        <w:pStyle w:val="18"/>
        <w:spacing w:beforeLines="0" w:line="360" w:lineRule="auto"/>
        <w:ind w:firstLine="480"/>
        <w:jc w:val="left"/>
        <w:outlineLvl w:val="9"/>
        <w:rPr>
          <w:rFonts w:hint="eastAsia"/>
          <w:b w:val="0"/>
        </w:rPr>
      </w:pPr>
      <w:r>
        <w:rPr>
          <w:rFonts w:hint="eastAsia"/>
          <w:b w:val="0"/>
        </w:rPr>
        <w:t>第2款，常用的避免储水变质的主要技术措施包括：</w:t>
      </w:r>
    </w:p>
    <w:p>
      <w:pPr>
        <w:pStyle w:val="18"/>
        <w:spacing w:beforeLines="0" w:line="360" w:lineRule="auto"/>
        <w:ind w:firstLine="480"/>
        <w:jc w:val="left"/>
        <w:outlineLvl w:val="9"/>
        <w:rPr>
          <w:rFonts w:hint="eastAsia"/>
          <w:b w:val="0"/>
        </w:rPr>
      </w:pPr>
      <w:r>
        <w:rPr>
          <w:rFonts w:hint="eastAsia"/>
          <w:b w:val="0"/>
          <w:bCs w:val="0"/>
        </w:rPr>
        <w:t>1）储水设施分格。当水池（箱）的有效容积大于 50m</w:t>
      </w:r>
      <w:r>
        <w:rPr>
          <w:rFonts w:hint="eastAsia"/>
          <w:b w:val="0"/>
          <w:bCs w:val="0"/>
          <w:vertAlign w:val="superscript"/>
        </w:rPr>
        <w:t>3</w:t>
      </w:r>
      <w:r>
        <w:rPr>
          <w:rFonts w:hint="eastAsia"/>
          <w:b w:val="0"/>
          <w:bCs w:val="0"/>
        </w:rPr>
        <w:t xml:space="preserve"> 时，宜分成容积基本相等、能独立运行的两格，使设施清洗时可以不停止供水，有利于建筑</w:t>
      </w:r>
      <w:r>
        <w:rPr>
          <w:rFonts w:hint="eastAsia"/>
          <w:b w:val="0"/>
        </w:rPr>
        <w:t>运行期间的储水设施清洗工作的开展。对储水设施进行定期有效清洗，能够有效避免设施内孳生蚊虫、生长青苔、沉积废渣等水质污染状况的发生。</w:t>
      </w:r>
      <w:r>
        <w:rPr>
          <w:rFonts w:hint="eastAsia"/>
          <w:b w:val="0"/>
          <w:bCs w:val="0"/>
        </w:rPr>
        <w:t>本条与2020年3月1日实施的新版国家标准《建筑给水排水设计标准》中条文3.8.1第四款相对应。</w:t>
      </w:r>
    </w:p>
    <w:p>
      <w:pPr>
        <w:pStyle w:val="18"/>
        <w:spacing w:beforeLines="0" w:line="360" w:lineRule="auto"/>
        <w:ind w:firstLine="480"/>
        <w:jc w:val="left"/>
        <w:outlineLvl w:val="9"/>
        <w:rPr>
          <w:rFonts w:hint="eastAsia"/>
          <w:b w:val="0"/>
        </w:rPr>
      </w:pPr>
      <w:r>
        <w:rPr>
          <w:rFonts w:hint="eastAsia"/>
          <w:b w:val="0"/>
        </w:rPr>
        <w:t>2）储水设施的体型选择及进出水管设置保证水流通畅、避免“死水区”。“死水区”即水流动较少或静止的区域，由于死水区的水长期处于静止状态，缺乏补氧，更容易滋生细菌和微生物，进而导致水质恶化。储水设施体型规则，进出水管在设施远端两头分别设置（必要时可设置导流装置），能够在最大限度上避免水流迂回和短路，避免“死水区”的产生。</w:t>
      </w:r>
    </w:p>
    <w:p>
      <w:pPr>
        <w:pStyle w:val="18"/>
        <w:spacing w:beforeLines="0" w:line="360" w:lineRule="auto"/>
        <w:ind w:firstLine="480"/>
        <w:jc w:val="left"/>
        <w:outlineLvl w:val="9"/>
        <w:rPr>
          <w:rFonts w:hint="eastAsia"/>
          <w:b w:val="0"/>
        </w:rPr>
      </w:pPr>
      <w:r>
        <w:rPr>
          <w:rFonts w:hint="eastAsia"/>
          <w:b w:val="0"/>
        </w:rPr>
        <w:t>3）储水设施的检查口（人孔）应加锁，溢流管、通气管口应采取防止生物进入的措施。避免非管理人员、灰尘携带致病微生物、蛇虫鼠蚁等进入水箱并污染储水。</w:t>
      </w:r>
    </w:p>
    <w:p>
      <w:pPr>
        <w:pStyle w:val="18"/>
        <w:spacing w:beforeLines="0" w:line="360" w:lineRule="auto"/>
        <w:ind w:firstLine="480"/>
        <w:jc w:val="left"/>
        <w:outlineLvl w:val="9"/>
        <w:rPr>
          <w:b w:val="0"/>
        </w:rPr>
      </w:pPr>
      <w:r>
        <w:rPr>
          <w:rFonts w:hint="eastAsia"/>
          <w:b w:val="0"/>
        </w:rPr>
        <w:t>本条的评价方法为：预评价查阅包含生活饮用水储水设施设置的给水排水施工图设计说明、生活饮用水储水设施详图、设备材料表等设计文件。评价查阅预评价方式涉及的竣工文件，还查阅生活饮用水储水设施设备材料采购清单或进场记录，成品水箱产品说明书。已投入使用的项目，尚应查阅生活饮用水储水设施清洗消毒后水质检测报告及清洗消毒记录。</w:t>
      </w:r>
    </w:p>
    <w:p>
      <w:pPr>
        <w:pStyle w:val="18"/>
        <w:spacing w:beforeLines="0" w:line="360" w:lineRule="auto"/>
        <w:ind w:firstLine="0" w:firstLineChars="0"/>
        <w:jc w:val="left"/>
        <w:outlineLvl w:val="9"/>
        <w:rPr>
          <w:rFonts w:hint="eastAsia"/>
          <w:b w:val="0"/>
        </w:rPr>
      </w:pPr>
      <w:r>
        <w:t>5.2.5</w:t>
      </w:r>
      <w:r>
        <w:rPr>
          <w:rFonts w:hint="eastAsia"/>
          <w:b w:val="0"/>
        </w:rPr>
        <w:t xml:space="preserve">  本条适用于各类民用建筑的预评价、评价。</w:t>
      </w:r>
    </w:p>
    <w:p>
      <w:pPr>
        <w:pStyle w:val="18"/>
        <w:spacing w:beforeLines="0" w:line="360" w:lineRule="auto"/>
        <w:ind w:firstLine="480"/>
        <w:jc w:val="left"/>
        <w:outlineLvl w:val="9"/>
        <w:rPr>
          <w:rFonts w:hint="eastAsia"/>
          <w:b w:val="0"/>
        </w:rPr>
      </w:pPr>
      <w:r>
        <w:rPr>
          <w:rFonts w:hint="eastAsia"/>
          <w:b w:val="0"/>
        </w:rPr>
        <w:t>本条为新增条文。</w:t>
      </w:r>
    </w:p>
    <w:p>
      <w:pPr>
        <w:pStyle w:val="18"/>
        <w:spacing w:beforeLines="0" w:line="360" w:lineRule="auto"/>
        <w:ind w:firstLine="480"/>
        <w:jc w:val="left"/>
        <w:outlineLvl w:val="9"/>
        <w:rPr>
          <w:rFonts w:hint="eastAsia"/>
          <w:b w:val="0"/>
        </w:rPr>
      </w:pPr>
      <w:r>
        <w:rPr>
          <w:rFonts w:hint="eastAsia"/>
          <w:b w:val="0"/>
        </w:rPr>
        <w:t>建筑内给水排水管道及设备的标识设置可参考现行国家标准《工业管道的基本识别色、识别符号和安全标识》GB 7231、《建筑给水排水及采暖工程施工质量验收规范》GB 50242中的相关要求，如：在管道上设色环标识，二个标识之间的最小距离不应大于10m，所有管道的起点、终点、交叉点、转弯处、阀门和穿墙孔两侧等的管道上和其他需要标识的部位均应设置标识，标识由系统名称、流向组成等，设置的标识字体、大小、颜色应方便辨识，且应为永久性标识，避免标识随时间褪色、剥落、损坏。</w:t>
      </w:r>
    </w:p>
    <w:p>
      <w:pPr>
        <w:pStyle w:val="18"/>
        <w:spacing w:beforeLines="0" w:line="360" w:lineRule="auto"/>
        <w:ind w:firstLine="480"/>
        <w:jc w:val="left"/>
        <w:outlineLvl w:val="9"/>
        <w:rPr>
          <w:rFonts w:hint="eastAsia"/>
          <w:b w:val="0"/>
        </w:rPr>
      </w:pPr>
      <w:r>
        <w:rPr>
          <w:rFonts w:hint="eastAsia"/>
          <w:b w:val="0"/>
        </w:rPr>
        <w:t>本条的评价方法为：预评价查阅给水排水施工图设计说明，说明中要求包含给水排水各类管道、设备、设施标识的设置说明评价查阅预评价方式涉及的竣工文件，重点审核给水排水各类管道、设备、设施标识设置，及项目落实情况。</w:t>
      </w:r>
    </w:p>
    <w:p>
      <w:pPr>
        <w:spacing w:line="360" w:lineRule="auto"/>
        <w:ind w:firstLine="560" w:firstLineChars="200"/>
        <w:jc w:val="center"/>
        <w:rPr>
          <w:rFonts w:hint="eastAsia" w:eastAsia="仿宋"/>
          <w:sz w:val="28"/>
          <w:szCs w:val="28"/>
        </w:rPr>
      </w:pPr>
      <w:r>
        <w:rPr>
          <w:rFonts w:hint="eastAsia" w:eastAsia="仿宋"/>
          <w:sz w:val="28"/>
          <w:szCs w:val="28"/>
        </w:rPr>
        <w:t>Ⅲ声环境与光环境</w:t>
      </w:r>
    </w:p>
    <w:p>
      <w:pPr>
        <w:pStyle w:val="18"/>
        <w:spacing w:beforeLines="0" w:line="360" w:lineRule="auto"/>
        <w:ind w:firstLine="0" w:firstLineChars="0"/>
        <w:jc w:val="left"/>
        <w:outlineLvl w:val="9"/>
        <w:rPr>
          <w:rFonts w:hint="eastAsia"/>
          <w:b w:val="0"/>
        </w:rPr>
      </w:pPr>
      <w:r>
        <w:t>5.2.6</w:t>
      </w:r>
      <w:r>
        <w:rPr>
          <w:rFonts w:hint="eastAsia"/>
          <w:b w:val="0"/>
        </w:rPr>
        <w:t xml:space="preserve">  本条适用于各类民用建筑的预评价、评价。</w:t>
      </w:r>
    </w:p>
    <w:p>
      <w:pPr>
        <w:pStyle w:val="18"/>
        <w:spacing w:beforeLines="0" w:line="360" w:lineRule="auto"/>
        <w:ind w:firstLine="480"/>
        <w:jc w:val="left"/>
        <w:outlineLvl w:val="9"/>
        <w:rPr>
          <w:rFonts w:hint="eastAsia"/>
          <w:b w:val="0"/>
        </w:rPr>
      </w:pPr>
      <w:r>
        <w:rPr>
          <w:rFonts w:hint="eastAsia"/>
          <w:b w:val="0"/>
        </w:rPr>
        <w:t>本条在本标准2016年版第8.2.1条基础上发展而来。现行国家标准《民用建筑隔声设计规范》GB50118规定了建筑主要功能房间的室内允许噪声级。本标准要求采取减少噪声干扰的措施进一步优化主要功能房间的室内声环境，包括优化建筑平面、空间布局，没有明显的噪声干扰；设备层、机房采取合理的隔振和降噪措施；采用同层排水或其他降低排水噪声的有效措施等。</w:t>
      </w:r>
    </w:p>
    <w:p>
      <w:pPr>
        <w:pStyle w:val="18"/>
        <w:spacing w:beforeLines="0" w:line="360" w:lineRule="auto"/>
        <w:ind w:firstLine="480"/>
        <w:jc w:val="left"/>
        <w:outlineLvl w:val="9"/>
        <w:rPr>
          <w:rFonts w:hint="eastAsia"/>
          <w:b w:val="0"/>
        </w:rPr>
      </w:pPr>
      <w:r>
        <w:rPr>
          <w:rFonts w:hint="eastAsia"/>
          <w:b w:val="0"/>
        </w:rPr>
        <w:t>国家标准《民用建筑隔声设计规范》GB50118-2010将住宅、办公、商业、医院等建筑主要功能房间的室内允许噪声级分“低限标准”和“高要求标准”两档列出。对于现行国家标准《民用建筑隔声设计规范》GB50118中包含的一些只有唯一室内噪声级要求的建筑（如学校），本条认定该室内噪声级对应数值为低限标准，而高要求标准则在此基础上降低5dB(A)。需要指出，对于不同星级的旅馆建筑，其对应的要求不同，需要一一对应。</w:t>
      </w:r>
    </w:p>
    <w:p>
      <w:pPr>
        <w:pStyle w:val="18"/>
        <w:spacing w:beforeLines="0" w:line="360" w:lineRule="auto"/>
        <w:ind w:firstLine="480"/>
        <w:jc w:val="left"/>
        <w:outlineLvl w:val="9"/>
        <w:rPr>
          <w:rFonts w:hint="eastAsia"/>
          <w:b w:val="0"/>
        </w:rPr>
      </w:pPr>
      <w:r>
        <w:rPr>
          <w:rFonts w:hint="eastAsia"/>
          <w:b w:val="0"/>
        </w:rPr>
        <w:t>增设第二款的目的，为防止建筑设备设施运行时产生的剧烈振动，因其建筑内的地板、墙体振动，并随建筑结构传播产生噪声，这类噪声通常为人主观感受更敏感的低频窄带噪声，涉及到建筑屋内的电梯主机、水泵、冷却塔、空压机、大型风机等设备。无强振动设备的，可直接得分。</w:t>
      </w:r>
    </w:p>
    <w:p>
      <w:pPr>
        <w:pStyle w:val="18"/>
        <w:spacing w:beforeLines="0" w:line="360" w:lineRule="auto"/>
        <w:ind w:firstLine="480"/>
        <w:jc w:val="left"/>
        <w:outlineLvl w:val="9"/>
        <w:rPr>
          <w:rFonts w:hint="eastAsia"/>
          <w:b w:val="0"/>
        </w:rPr>
      </w:pPr>
      <w:r>
        <w:rPr>
          <w:rFonts w:hint="eastAsia"/>
          <w:b w:val="0"/>
        </w:rPr>
        <w:t>本条的评价方法为：预评价查阅相关设计文件、噪声分析报告、强振动设备隔振措施文件；评价查阅相关竣工图、室内噪声检测报告、强振动设备隔振构造竣工图及进行现场查看。</w:t>
      </w:r>
    </w:p>
    <w:p>
      <w:pPr>
        <w:pStyle w:val="18"/>
        <w:spacing w:beforeLines="0" w:line="360" w:lineRule="auto"/>
        <w:ind w:firstLine="0" w:firstLineChars="0"/>
        <w:jc w:val="left"/>
        <w:outlineLvl w:val="9"/>
        <w:rPr>
          <w:rFonts w:hint="eastAsia"/>
          <w:b w:val="0"/>
        </w:rPr>
      </w:pPr>
      <w:r>
        <w:t>5.2.7</w:t>
      </w:r>
      <w:r>
        <w:rPr>
          <w:rFonts w:hint="eastAsia"/>
        </w:rPr>
        <w:t xml:space="preserve"> </w:t>
      </w:r>
      <w:r>
        <w:rPr>
          <w:rFonts w:hint="eastAsia"/>
          <w:b w:val="0"/>
        </w:rPr>
        <w:t xml:space="preserve"> 本条适用于各类民用建筑的预评价、评价。</w:t>
      </w:r>
    </w:p>
    <w:p>
      <w:pPr>
        <w:pStyle w:val="18"/>
        <w:spacing w:beforeLines="0" w:line="360" w:lineRule="auto"/>
        <w:ind w:firstLine="480"/>
        <w:jc w:val="left"/>
        <w:outlineLvl w:val="9"/>
        <w:rPr>
          <w:rFonts w:hint="eastAsia"/>
          <w:b w:val="0"/>
        </w:rPr>
      </w:pPr>
      <w:r>
        <w:rPr>
          <w:rFonts w:hint="eastAsia"/>
          <w:b w:val="0"/>
        </w:rPr>
        <w:t>本条沿用本标准2016 年版第8.2.2条。国家标准《民用建筑隔声设计规范》GB 50118 - 2010 将住宅、办公、商业、旅馆、医院等类型建筑的墙体、门窗、楼板的空气声隔声性能以及楼板的撞击声隔声性能分为“低限标准”和“高要求标准”两档列出。</w:t>
      </w:r>
    </w:p>
    <w:p>
      <w:pPr>
        <w:pStyle w:val="18"/>
        <w:spacing w:beforeLines="0" w:line="360" w:lineRule="auto"/>
        <w:ind w:firstLine="480"/>
        <w:jc w:val="left"/>
        <w:outlineLvl w:val="9"/>
        <w:rPr>
          <w:rFonts w:hint="eastAsia"/>
          <w:b w:val="0"/>
        </w:rPr>
      </w:pPr>
      <w:r>
        <w:rPr>
          <w:rFonts w:hint="eastAsia"/>
          <w:b w:val="0"/>
        </w:rPr>
        <w:t>第1款，对于现行国家标准《民用建筑隔声设计规范》GB50118中只规定了构件的单一空气隔声性能的建筑，本条认定该构件对应的空气隔声性能数值为低限标准限值，而高要求标准限值则在此基础上提高5dB。</w:t>
      </w:r>
    </w:p>
    <w:p>
      <w:pPr>
        <w:pStyle w:val="18"/>
        <w:spacing w:beforeLines="0" w:line="360" w:lineRule="auto"/>
        <w:ind w:firstLine="480"/>
        <w:jc w:val="left"/>
        <w:outlineLvl w:val="9"/>
        <w:rPr>
          <w:rFonts w:hint="eastAsia"/>
          <w:b w:val="0"/>
        </w:rPr>
      </w:pPr>
      <w:r>
        <w:rPr>
          <w:rFonts w:hint="eastAsia"/>
          <w:b w:val="0"/>
        </w:rPr>
        <w:t>第2款，对于现行国家标准《民用建筑隔声设计规范》GB50118中只有单一楼板撞击声隔声性能的建筑类型，本条认定对应的楼板撞击声隔声性能数值为低限标准限值，高要求标准限值在低限标准限值降低lOdB。</w:t>
      </w:r>
    </w:p>
    <w:p>
      <w:pPr>
        <w:pStyle w:val="18"/>
        <w:spacing w:beforeLines="0" w:line="360" w:lineRule="auto"/>
        <w:ind w:firstLine="480"/>
        <w:jc w:val="left"/>
        <w:outlineLvl w:val="9"/>
        <w:rPr>
          <w:rFonts w:hint="eastAsia"/>
          <w:b w:val="0"/>
        </w:rPr>
      </w:pPr>
      <w:r>
        <w:rPr>
          <w:rFonts w:hint="eastAsia"/>
          <w:b w:val="0"/>
        </w:rPr>
        <w:t>对于现行国家标准《民用建筑隔声设计规范》GB 50118没有涉及的类型建筑的围护结构构件隔声性能可对照相似类型建筑的要求评价。</w:t>
      </w:r>
    </w:p>
    <w:p>
      <w:pPr>
        <w:pStyle w:val="18"/>
        <w:spacing w:beforeLines="0" w:line="360" w:lineRule="auto"/>
        <w:ind w:firstLine="480"/>
        <w:jc w:val="left"/>
        <w:outlineLvl w:val="9"/>
        <w:rPr>
          <w:rFonts w:hint="eastAsia"/>
          <w:b w:val="0"/>
        </w:rPr>
      </w:pPr>
      <w:r>
        <w:rPr>
          <w:rFonts w:hint="eastAsia"/>
          <w:b w:val="0"/>
        </w:rPr>
        <w:t>本条的评价方法为：预评价查阅相关设计文件、构件隔声性能的实验室检验报告；评价查阅相关竣工图、构件隔声性能的实验室检验报告。</w:t>
      </w:r>
    </w:p>
    <w:p>
      <w:pPr>
        <w:pStyle w:val="18"/>
        <w:tabs>
          <w:tab w:val="left" w:pos="5909"/>
        </w:tabs>
        <w:spacing w:beforeLines="0" w:line="360" w:lineRule="auto"/>
        <w:ind w:firstLine="0" w:firstLineChars="0"/>
        <w:jc w:val="left"/>
        <w:outlineLvl w:val="9"/>
        <w:rPr>
          <w:rFonts w:hint="eastAsia"/>
          <w:b w:val="0"/>
        </w:rPr>
      </w:pPr>
      <w:r>
        <w:t>5.2.8</w:t>
      </w:r>
      <w:r>
        <w:rPr>
          <w:rFonts w:hint="eastAsia"/>
          <w:b w:val="0"/>
        </w:rPr>
        <w:t xml:space="preserve">  本条适用于各类民用建筑的预评价、评价。</w:t>
      </w:r>
      <w:r>
        <w:rPr>
          <w:b w:val="0"/>
        </w:rPr>
        <w:tab/>
      </w:r>
    </w:p>
    <w:p>
      <w:pPr>
        <w:pStyle w:val="18"/>
        <w:spacing w:beforeLines="0" w:line="360" w:lineRule="auto"/>
        <w:ind w:firstLine="0" w:firstLineChars="0"/>
        <w:jc w:val="left"/>
        <w:outlineLvl w:val="9"/>
        <w:rPr>
          <w:rFonts w:hint="eastAsia"/>
          <w:b w:val="0"/>
        </w:rPr>
      </w:pPr>
      <w:r>
        <w:rPr>
          <w:rFonts w:hint="eastAsia"/>
          <w:b w:val="0"/>
        </w:rPr>
        <w:t>（调整后：降低采光照度值模拟分析的数值，结合广西实际情况，增加住宅建筑窗地比作为住宅建筑的评价指标。请PKPM北京构力和清华斯维尔参与论证）</w:t>
      </w:r>
    </w:p>
    <w:p>
      <w:pPr>
        <w:pStyle w:val="18"/>
        <w:spacing w:beforeLines="0" w:line="360" w:lineRule="auto"/>
        <w:ind w:firstLine="0" w:firstLineChars="0"/>
        <w:jc w:val="left"/>
        <w:outlineLvl w:val="9"/>
        <w:rPr>
          <w:rFonts w:hint="eastAsia"/>
          <w:b w:val="0"/>
        </w:rPr>
      </w:pPr>
      <w:r>
        <w:rPr>
          <w:rFonts w:hint="eastAsia"/>
          <w:b w:val="0"/>
        </w:rPr>
        <w:t>PKPM北京构力建议取消住宅建筑窗地比作为住宅建筑的评价指标。</w:t>
      </w:r>
    </w:p>
    <w:p>
      <w:pPr>
        <w:pStyle w:val="18"/>
        <w:spacing w:beforeLines="0" w:line="360" w:lineRule="auto"/>
        <w:ind w:firstLine="480"/>
        <w:jc w:val="left"/>
        <w:outlineLvl w:val="9"/>
        <w:rPr>
          <w:rFonts w:hint="eastAsia"/>
          <w:b w:val="0"/>
        </w:rPr>
      </w:pPr>
      <w:r>
        <w:rPr>
          <w:rFonts w:hint="eastAsia"/>
          <w:b w:val="0"/>
        </w:rPr>
        <w:t>本条在本标准2016年版第8.2.6、8.2.7条基础上发展而来。本条对住宅建筑和公共建筑达到采光照度要求的采光区域和采光时间提出了要求，以更为全面地评价室内采光质量。天然采光不仅有利于照明节能，而且有利于增加室内外的自然信息交流，改善空间卫生环境，调节空间使用者的心情。住宅的主要功能房间包括起卧室、居室（厅）、餐厅、厨房、卫生间，不包含过厅、过道、储藏室、壁柜等辅助功能房间、公共楼梯及户内楼梯。对于大进深、地下空间宜优先通过合理的建筑设计（如半地下室、天窗等方式）改善天然采光条件，且尽可能地避免出现无窗空间。对于无法避免的情况，鼓励通过导光管、棱镜玻璃等合理措施充分利用天然光，促进人们的舒适健康，但此时应对无法避免因素进行解释说明。</w:t>
      </w:r>
    </w:p>
    <w:p>
      <w:pPr>
        <w:pStyle w:val="18"/>
        <w:spacing w:beforeLines="0" w:line="360" w:lineRule="auto"/>
        <w:ind w:firstLine="480"/>
        <w:jc w:val="left"/>
        <w:outlineLvl w:val="9"/>
        <w:rPr>
          <w:rFonts w:hint="eastAsia"/>
          <w:b w:val="0"/>
        </w:rPr>
      </w:pPr>
      <w:r>
        <w:rPr>
          <w:rFonts w:hint="eastAsia"/>
          <w:b w:val="0"/>
        </w:rPr>
        <w:t>第1款和第2款针对住宅建筑和公共建筑分别提出评价要求。第1款增加住宅建筑的窗地比作为住宅建筑的评价指标之一。为了更加真实地反映天然光利用的效果，采用基于天然光气候数据的建筑采光全年动态分析的方法对其进行评价。建筑及采光设计时，可通过软件对建筑的动态采光效果进行计算分析，根据计算结构合理进行采光系统设计。采光模拟应符合现行行业标准《民用建筑绿色性能计算标准》JGJ/T 449 的相关规定。采光相关指标的计算过程中，相关参数应设定为：地面反射比0.3,墙面0.6外表面0.5，顶棚,0.75。外窗的透射比应根据设计图纸确定。如果设计图纸中涉及的相关参数有所不同，需提供材料测试报告。</w:t>
      </w:r>
    </w:p>
    <w:p>
      <w:pPr>
        <w:pStyle w:val="18"/>
        <w:spacing w:beforeLines="0" w:line="360" w:lineRule="auto"/>
        <w:ind w:firstLine="480"/>
        <w:jc w:val="left"/>
        <w:outlineLvl w:val="9"/>
        <w:rPr>
          <w:b w:val="0"/>
        </w:rPr>
      </w:pPr>
      <w:r>
        <w:rPr>
          <w:rFonts w:hint="eastAsia"/>
          <w:b w:val="0"/>
        </w:rPr>
        <w:t>第1款，照度限值可以根据《建筑采光设计标准》G</w:t>
      </w:r>
      <w:r>
        <w:rPr>
          <w:b w:val="0"/>
        </w:rPr>
        <w:t>B50033</w:t>
      </w:r>
      <w:r>
        <w:rPr>
          <w:rFonts w:hint="eastAsia"/>
          <w:b w:val="0"/>
        </w:rPr>
        <w:t>的采光系数的方法进行折算，具体步骤如下：</w:t>
      </w:r>
    </w:p>
    <w:p>
      <w:pPr>
        <w:pStyle w:val="18"/>
        <w:spacing w:beforeLines="0" w:line="360" w:lineRule="auto"/>
        <w:ind w:firstLine="480"/>
        <w:jc w:val="left"/>
        <w:outlineLvl w:val="9"/>
        <w:rPr>
          <w:b w:val="0"/>
        </w:rPr>
      </w:pPr>
      <w:r>
        <w:rPr>
          <w:b/>
        </w:rPr>
        <w:drawing>
          <wp:inline distT="0" distB="0" distL="114300" distR="114300">
            <wp:extent cx="4414520" cy="856615"/>
            <wp:effectExtent l="0" t="0" r="5080" b="63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8"/>
                    <a:srcRect t="6255"/>
                    <a:stretch>
                      <a:fillRect/>
                    </a:stretch>
                  </pic:blipFill>
                  <pic:spPr>
                    <a:xfrm>
                      <a:off x="0" y="0"/>
                      <a:ext cx="4414520" cy="856615"/>
                    </a:xfrm>
                    <a:prstGeom prst="rect">
                      <a:avLst/>
                    </a:prstGeom>
                    <a:noFill/>
                    <a:ln>
                      <a:noFill/>
                    </a:ln>
                  </pic:spPr>
                </pic:pic>
              </a:graphicData>
            </a:graphic>
          </wp:inline>
        </w:drawing>
      </w:r>
    </w:p>
    <w:p>
      <w:pPr>
        <w:pStyle w:val="18"/>
        <w:spacing w:beforeLines="0" w:line="360" w:lineRule="auto"/>
        <w:ind w:firstLine="480"/>
        <w:jc w:val="left"/>
        <w:outlineLvl w:val="9"/>
        <w:rPr>
          <w:b w:val="0"/>
        </w:rPr>
      </w:pPr>
      <w:r>
        <w:rPr>
          <w:b/>
        </w:rPr>
        <w:drawing>
          <wp:inline distT="0" distB="0" distL="114300" distR="114300">
            <wp:extent cx="4542790" cy="1276350"/>
            <wp:effectExtent l="0" t="0" r="1016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9"/>
                    <a:stretch>
                      <a:fillRect/>
                    </a:stretch>
                  </pic:blipFill>
                  <pic:spPr>
                    <a:xfrm>
                      <a:off x="0" y="0"/>
                      <a:ext cx="4542790" cy="1276350"/>
                    </a:xfrm>
                    <a:prstGeom prst="rect">
                      <a:avLst/>
                    </a:prstGeom>
                    <a:noFill/>
                    <a:ln>
                      <a:noFill/>
                    </a:ln>
                  </pic:spPr>
                </pic:pic>
              </a:graphicData>
            </a:graphic>
          </wp:inline>
        </w:drawing>
      </w:r>
    </w:p>
    <w:p>
      <w:pPr>
        <w:pStyle w:val="18"/>
        <w:spacing w:beforeLines="0" w:line="360" w:lineRule="auto"/>
        <w:ind w:firstLine="480"/>
        <w:jc w:val="left"/>
        <w:outlineLvl w:val="9"/>
        <w:rPr>
          <w:b w:val="0"/>
        </w:rPr>
      </w:pPr>
      <w:r>
        <w:rPr>
          <w:rFonts w:hint="eastAsia"/>
          <w:b w:val="0"/>
        </w:rPr>
        <w:t>III类光气候区的照度标准值3</w:t>
      </w:r>
      <w:r>
        <w:rPr>
          <w:b w:val="0"/>
        </w:rPr>
        <w:t>00</w:t>
      </w:r>
      <w:r>
        <w:rPr>
          <w:rFonts w:hint="eastAsia"/>
          <w:b w:val="0"/>
        </w:rPr>
        <w:t>lx对应的采光系数为2</w:t>
      </w:r>
      <w:r>
        <w:rPr>
          <w:b w:val="0"/>
        </w:rPr>
        <w:t>.0</w:t>
      </w:r>
      <w:r>
        <w:rPr>
          <w:rFonts w:hint="eastAsia"/>
          <w:b w:val="0"/>
        </w:rPr>
        <w:t>（3</w:t>
      </w:r>
      <w:r>
        <w:rPr>
          <w:b w:val="0"/>
        </w:rPr>
        <w:t>00</w:t>
      </w:r>
      <w:r>
        <w:rPr>
          <w:rFonts w:hint="eastAsia"/>
          <w:b w:val="0"/>
        </w:rPr>
        <w:t>÷</w:t>
      </w:r>
      <w:r>
        <w:rPr>
          <w:b w:val="0"/>
        </w:rPr>
        <w:t>15000</w:t>
      </w:r>
      <w:r>
        <w:rPr>
          <w:rFonts w:hint="eastAsia"/>
          <w:b w:val="0"/>
        </w:rPr>
        <w:t>×</w:t>
      </w:r>
      <w:r>
        <w:rPr>
          <w:b w:val="0"/>
        </w:rPr>
        <w:t>100</w:t>
      </w:r>
      <w:r>
        <w:rPr>
          <w:rFonts w:hint="eastAsia"/>
          <w:b w:val="0"/>
        </w:rPr>
        <w:t>%），广西处于IV类光气候区，于是其采光系数标准值为：2</w:t>
      </w:r>
      <w:r>
        <w:rPr>
          <w:b w:val="0"/>
        </w:rPr>
        <w:t>.0</w:t>
      </w:r>
      <w:r>
        <w:rPr>
          <w:rFonts w:hint="eastAsia"/>
          <w:b w:val="0"/>
        </w:rPr>
        <w:t>×</w:t>
      </w:r>
      <w:r>
        <w:rPr>
          <w:b w:val="0"/>
        </w:rPr>
        <w:t>1.1</w:t>
      </w:r>
      <w:r>
        <w:rPr>
          <w:rFonts w:hint="eastAsia"/>
          <w:b w:val="0"/>
        </w:rPr>
        <w:t>=</w:t>
      </w:r>
      <w:r>
        <w:rPr>
          <w:b w:val="0"/>
        </w:rPr>
        <w:t>2.2</w:t>
      </w:r>
      <w:r>
        <w:rPr>
          <w:rFonts w:hint="eastAsia"/>
          <w:b w:val="0"/>
        </w:rPr>
        <w:t>，通过3</w:t>
      </w:r>
      <w:r>
        <w:rPr>
          <w:b w:val="0"/>
        </w:rPr>
        <w:t>.0.1</w:t>
      </w:r>
      <w:r>
        <w:rPr>
          <w:rFonts w:hint="eastAsia"/>
          <w:b w:val="0"/>
        </w:rPr>
        <w:t>公式可计算出室内照度标准值为：2</w:t>
      </w:r>
      <w:r>
        <w:rPr>
          <w:b w:val="0"/>
        </w:rPr>
        <w:t>.2</w:t>
      </w:r>
      <w:r>
        <w:rPr>
          <w:rFonts w:hint="eastAsia"/>
          <w:b w:val="0"/>
        </w:rPr>
        <w:t>×</w:t>
      </w:r>
      <w:r>
        <w:rPr>
          <w:b w:val="0"/>
        </w:rPr>
        <w:t>13500</w:t>
      </w:r>
      <w:r>
        <w:rPr>
          <w:rFonts w:hint="eastAsia"/>
          <w:b w:val="0"/>
        </w:rPr>
        <w:t>÷</w:t>
      </w:r>
      <w:r>
        <w:rPr>
          <w:b w:val="0"/>
        </w:rPr>
        <w:t>100</w:t>
      </w:r>
      <w:r>
        <w:rPr>
          <w:rFonts w:hint="eastAsia"/>
          <w:b w:val="0"/>
        </w:rPr>
        <w:t>%=</w:t>
      </w:r>
      <w:r>
        <w:rPr>
          <w:b w:val="0"/>
        </w:rPr>
        <w:t>297</w:t>
      </w:r>
      <w:r>
        <w:rPr>
          <w:rFonts w:hint="eastAsia"/>
          <w:b w:val="0"/>
        </w:rPr>
        <w:t>lx。</w:t>
      </w:r>
    </w:p>
    <w:p>
      <w:pPr>
        <w:pStyle w:val="18"/>
        <w:spacing w:beforeLines="0" w:line="360" w:lineRule="auto"/>
        <w:ind w:firstLine="480"/>
        <w:jc w:val="left"/>
        <w:outlineLvl w:val="9"/>
        <w:rPr>
          <w:rFonts w:hint="eastAsia"/>
          <w:b w:val="0"/>
        </w:rPr>
      </w:pPr>
      <w:r>
        <w:rPr>
          <w:rFonts w:hint="eastAsia"/>
          <w:b w:val="0"/>
        </w:rPr>
        <w:t>因此，照度标准值设定为2</w:t>
      </w:r>
      <w:r>
        <w:rPr>
          <w:b w:val="0"/>
        </w:rPr>
        <w:t>97</w:t>
      </w:r>
      <w:r>
        <w:rPr>
          <w:rFonts w:hint="eastAsia"/>
          <w:b w:val="0"/>
        </w:rPr>
        <w:t>lx。</w:t>
      </w:r>
    </w:p>
    <w:p>
      <w:pPr>
        <w:pStyle w:val="18"/>
        <w:spacing w:beforeLines="0" w:line="360" w:lineRule="auto"/>
        <w:ind w:firstLine="480"/>
        <w:jc w:val="left"/>
        <w:outlineLvl w:val="9"/>
        <w:rPr>
          <w:rFonts w:hint="eastAsia"/>
          <w:b w:val="0"/>
        </w:rPr>
      </w:pPr>
      <w:r>
        <w:rPr>
          <w:rFonts w:hint="eastAsia"/>
          <w:b w:val="0"/>
        </w:rPr>
        <w:t>第3款，过度阳光进入室内会造成强烈的明暗对比，影响室内人员的视觉舒适度。因此在充分利用天然光资源的同时，还应采取必要的措施控制不舒适眩光，如作业区域减少或避免阳光直射、采用室内外遮挡设施等，并应符合现行国家标准《建筑采光设计标准》GB50033中控制不舒适眩光的相关规定。</w:t>
      </w:r>
    </w:p>
    <w:p>
      <w:pPr>
        <w:pStyle w:val="18"/>
        <w:spacing w:beforeLines="0" w:line="360" w:lineRule="auto"/>
        <w:ind w:firstLine="480"/>
        <w:jc w:val="left"/>
        <w:outlineLvl w:val="9"/>
        <w:rPr>
          <w:rFonts w:hint="eastAsia"/>
          <w:b w:val="0"/>
        </w:rPr>
      </w:pPr>
      <w:r>
        <w:rPr>
          <w:rFonts w:hint="eastAsia"/>
          <w:b w:val="0"/>
        </w:rPr>
        <w:t>本条的评价方法为：预评价查阅相关设计文件、计算书；评价查阅相关竣工图、计算书、采光检测报告。</w:t>
      </w:r>
    </w:p>
    <w:p>
      <w:pPr>
        <w:pStyle w:val="18"/>
        <w:spacing w:before="240" w:line="360" w:lineRule="auto"/>
        <w:ind w:firstLine="480"/>
        <w:jc w:val="left"/>
        <w:rPr>
          <w:rFonts w:hint="eastAsia"/>
          <w:b w:val="0"/>
        </w:rPr>
      </w:pPr>
      <w:r>
        <w:rPr>
          <w:rFonts w:hint="eastAsia"/>
          <w:b w:val="0"/>
        </w:rPr>
        <w:t>8.2.5  本条适用于各类民用建筑的预评价、评价。公共建筑的主要功能房间包括办公室、会议室、病房、教室及客房等场所。</w:t>
      </w:r>
    </w:p>
    <w:p>
      <w:pPr>
        <w:pStyle w:val="18"/>
        <w:spacing w:before="240" w:line="360" w:lineRule="auto"/>
        <w:ind w:firstLine="480"/>
        <w:jc w:val="left"/>
        <w:rPr>
          <w:rFonts w:hint="eastAsia"/>
          <w:b w:val="0"/>
        </w:rPr>
      </w:pPr>
      <w:r>
        <w:rPr>
          <w:rFonts w:hint="eastAsia"/>
          <w:b w:val="0"/>
        </w:rPr>
        <w:t>美国LEED标准中对于获得良好的视野也作了规定。</w:t>
      </w:r>
    </w:p>
    <w:p>
      <w:pPr>
        <w:pStyle w:val="18"/>
        <w:spacing w:before="240" w:line="360" w:lineRule="auto"/>
        <w:ind w:firstLine="480"/>
        <w:jc w:val="left"/>
        <w:rPr>
          <w:rFonts w:hint="eastAsia"/>
          <w:b w:val="0"/>
        </w:rPr>
      </w:pPr>
      <w:r>
        <w:rPr>
          <w:rFonts w:hint="eastAsia"/>
          <w:b w:val="0"/>
        </w:rPr>
        <w:t>对于居住建筑，主要依靠控制建筑间距来获得良好的视野。根据经验，当两幢住宅楼居住空间的水平视线距离超过18m时即能基本满足要求。当两幢住宅楼水平视线距离不超过18m时，临近住宅应通过建筑户型设计避免产生私密问题。对于公共建筑，要求在主要功能房间的使用区域内都能看到室外自然环境，没有构筑物或周边建筑物对视野造成完全遮挡。</w:t>
      </w:r>
    </w:p>
    <w:p>
      <w:pPr>
        <w:pStyle w:val="18"/>
        <w:spacing w:before="240" w:line="360" w:lineRule="auto"/>
        <w:ind w:firstLine="480"/>
        <w:jc w:val="left"/>
        <w:rPr>
          <w:rFonts w:hint="eastAsia"/>
          <w:b w:val="0"/>
        </w:rPr>
      </w:pPr>
      <w:r>
        <w:rPr>
          <w:rFonts w:hint="eastAsia"/>
          <w:b w:val="0"/>
        </w:rPr>
        <w:t>本条的评价方法为：对于居住建筑：预评价查阅总平面图，对住宅与相邻建筑的直接间距进行核实；评价阶段查阅竣工总平面图，并进行现场核查。当两建筑相对的外墙间距不足18m，但至少有一面外墙上无窗户时，也可认为没有视线干扰。</w:t>
      </w:r>
    </w:p>
    <w:p>
      <w:pPr>
        <w:pStyle w:val="18"/>
        <w:spacing w:beforeLines="0" w:line="360" w:lineRule="auto"/>
        <w:ind w:firstLine="480"/>
        <w:jc w:val="left"/>
        <w:outlineLvl w:val="9"/>
        <w:rPr>
          <w:rFonts w:hint="eastAsia"/>
          <w:b w:val="0"/>
        </w:rPr>
      </w:pPr>
      <w:r>
        <w:rPr>
          <w:rFonts w:hint="eastAsia"/>
          <w:b w:val="0"/>
        </w:rPr>
        <w:t>对于公共建筑：预评价查阅最不利楼层或房间的平面图、剖面图和视野模拟分析报告；评价查阅竣工平、剖面图和视野模拟分析报告，并现场核查。视野模拟分析报告中应将周边高大的建筑物、构筑物的影响都考虑在内，建筑自身遮挡也不可忽略，并涵盖所有朝向的最不利房间。具体评价时应选择在其主要功能房间的中心点1.5m高的位置，与窗户各角点连线所形成的立体角内，看其是否可看到天空或者地面。</w:t>
      </w:r>
    </w:p>
    <w:p>
      <w:pPr>
        <w:spacing w:line="360" w:lineRule="auto"/>
        <w:ind w:firstLine="560" w:firstLineChars="200"/>
        <w:jc w:val="center"/>
        <w:rPr>
          <w:rFonts w:eastAsia="仿宋"/>
          <w:sz w:val="28"/>
          <w:szCs w:val="28"/>
        </w:rPr>
      </w:pPr>
      <w:r>
        <w:rPr>
          <w:rFonts w:hint="eastAsia" w:eastAsia="仿宋"/>
          <w:sz w:val="28"/>
          <w:szCs w:val="28"/>
        </w:rPr>
        <w:t>Ⅳ 室内热湿环境</w:t>
      </w:r>
    </w:p>
    <w:p>
      <w:pPr>
        <w:pStyle w:val="18"/>
        <w:spacing w:beforeLines="0" w:line="360" w:lineRule="auto"/>
        <w:ind w:firstLine="0" w:firstLineChars="0"/>
        <w:jc w:val="left"/>
        <w:outlineLvl w:val="9"/>
        <w:rPr>
          <w:rFonts w:hint="eastAsia"/>
          <w:b w:val="0"/>
        </w:rPr>
      </w:pPr>
      <w:r>
        <w:t>5.2.9</w:t>
      </w:r>
      <w:r>
        <w:rPr>
          <w:rFonts w:hint="eastAsia"/>
          <w:b w:val="0"/>
        </w:rPr>
        <w:t xml:space="preserve">  本条适用千各类民用建筑的预评价、评价。</w:t>
      </w:r>
    </w:p>
    <w:p>
      <w:pPr>
        <w:pStyle w:val="18"/>
        <w:spacing w:beforeLines="0" w:line="360" w:lineRule="auto"/>
        <w:ind w:firstLine="480"/>
        <w:jc w:val="left"/>
        <w:outlineLvl w:val="9"/>
        <w:rPr>
          <w:rFonts w:hint="eastAsia"/>
          <w:b w:val="0"/>
        </w:rPr>
      </w:pPr>
      <w:r>
        <w:rPr>
          <w:rFonts w:hint="eastAsia"/>
          <w:b w:val="0"/>
        </w:rPr>
        <w:t>本条为新增条文。</w:t>
      </w:r>
    </w:p>
    <w:p>
      <w:pPr>
        <w:pStyle w:val="18"/>
        <w:spacing w:beforeLines="0" w:line="360" w:lineRule="auto"/>
        <w:ind w:firstLine="480"/>
        <w:jc w:val="left"/>
        <w:outlineLvl w:val="9"/>
        <w:rPr>
          <w:rFonts w:hint="eastAsia"/>
          <w:b w:val="0"/>
        </w:rPr>
      </w:pPr>
      <w:r>
        <w:rPr>
          <w:rFonts w:hint="eastAsia"/>
          <w:b w:val="0"/>
        </w:rPr>
        <w:t>第 1 款，对于采用自然通风或复合通风的建筑，本条款以建筑物内主要功能房间或区域为对象，以全年建筑运行时间为评价时间范围，按主要功能房间或区域的面积加权计算满足适应性热舒适区间的时间百分比进行评分。该条款关注的是建筑适应性热舒适设计，强调建筑中人不是环境的被动接受者，而是能够进行自我调节的适应者，人们会通过改变着装、行为或逐步调整自己的反应以适应复杂的环境变化，从而接受较大范围的室内温度。</w:t>
      </w:r>
    </w:p>
    <w:p>
      <w:pPr>
        <w:pStyle w:val="18"/>
        <w:spacing w:beforeLines="0" w:line="360" w:lineRule="auto"/>
        <w:ind w:firstLine="480"/>
        <w:jc w:val="left"/>
        <w:outlineLvl w:val="9"/>
        <w:rPr>
          <w:rFonts w:hint="eastAsia"/>
          <w:b w:val="0"/>
        </w:rPr>
      </w:pPr>
      <w:r>
        <w:rPr>
          <w:rFonts w:hint="eastAsia"/>
          <w:b w:val="0"/>
        </w:rPr>
        <w:t>此外，营造动态而非恒定不变的室内环境，有利于维持人体对热环境的应激能力，改善使用者舒适感与身体健康。本条款要求从动态热环境和适应性热舒适角度，对室内热湿环境进行设计优化，强化自然通风、复合通风，合理拓宽室内热湿环境设计参数，鼓励设计中允许室内人员对外窗、风扇等装置进行自由调节。</w:t>
      </w:r>
    </w:p>
    <w:p>
      <w:pPr>
        <w:pStyle w:val="18"/>
        <w:spacing w:beforeLines="0" w:line="360" w:lineRule="auto"/>
        <w:ind w:firstLine="480"/>
        <w:jc w:val="left"/>
        <w:outlineLvl w:val="9"/>
        <w:rPr>
          <w:rFonts w:hint="eastAsia"/>
          <w:b w:val="0"/>
        </w:rPr>
      </w:pPr>
      <w:r>
        <w:rPr>
          <w:rFonts w:hint="eastAsia"/>
          <w:b w:val="0"/>
        </w:rPr>
        <w:t>第 2 款，人工冷热源热湿环境整体评价指标应包括预计平均热感觉指标 (PMV) 和预计不满意者的百分数 CPPD), PMVPPD 的计算程序应按国家标准《民用建筑室内热湿环境评价标准》 GB/T 50785 - 2012 附录 E 的规定执行。本款以建筑物内主要功能房间或区域为对象，以达标面积比例为评价依据。</w:t>
      </w:r>
    </w:p>
    <w:p>
      <w:pPr>
        <w:pStyle w:val="18"/>
        <w:spacing w:beforeLines="0" w:line="360" w:lineRule="auto"/>
        <w:ind w:firstLine="480"/>
        <w:jc w:val="left"/>
        <w:outlineLvl w:val="9"/>
        <w:rPr>
          <w:rFonts w:hint="eastAsia"/>
          <w:b w:val="0"/>
        </w:rPr>
      </w:pPr>
      <w:r>
        <w:rPr>
          <w:rFonts w:hint="eastAsia"/>
          <w:b w:val="0"/>
        </w:rPr>
        <w:t>对于同时存在自然通风、复合通风和人工冷源的建筑，应分别计算不同功能房间室内热环境对应第 1 、 2 款的达标情况，按面积加权进行评分。</w:t>
      </w:r>
    </w:p>
    <w:p>
      <w:pPr>
        <w:pStyle w:val="18"/>
        <w:spacing w:beforeLines="0" w:line="360" w:lineRule="auto"/>
        <w:ind w:firstLine="480"/>
        <w:jc w:val="left"/>
        <w:outlineLvl w:val="9"/>
        <w:rPr>
          <w:rFonts w:hint="eastAsia"/>
          <w:b w:val="0"/>
        </w:rPr>
      </w:pPr>
      <w:r>
        <w:rPr>
          <w:rFonts w:hint="eastAsia"/>
          <w:b w:val="0"/>
        </w:rPr>
        <w:t>本条的评价方法为：预评价查阅相关设计文件、计算分析报告；评价查阅相关竣工图、计算分析报告。</w:t>
      </w:r>
    </w:p>
    <w:p>
      <w:pPr>
        <w:pStyle w:val="18"/>
        <w:spacing w:beforeLines="0" w:line="360" w:lineRule="auto"/>
        <w:ind w:firstLine="0" w:firstLineChars="0"/>
        <w:jc w:val="left"/>
        <w:outlineLvl w:val="9"/>
        <w:rPr>
          <w:rFonts w:hint="eastAsia"/>
          <w:b w:val="0"/>
        </w:rPr>
      </w:pPr>
      <w:r>
        <w:t>5.2.10</w:t>
      </w:r>
      <w:r>
        <w:rPr>
          <w:rFonts w:hint="eastAsia"/>
        </w:rPr>
        <w:t xml:space="preserve"> </w:t>
      </w:r>
      <w:r>
        <w:rPr>
          <w:rFonts w:hint="eastAsia"/>
          <w:b w:val="0"/>
        </w:rPr>
        <w:t xml:space="preserve"> 本条适用于各类民用建筑的预评价、评价。</w:t>
      </w:r>
    </w:p>
    <w:p>
      <w:pPr>
        <w:pStyle w:val="18"/>
        <w:spacing w:beforeLines="0" w:line="360" w:lineRule="auto"/>
        <w:ind w:firstLine="480"/>
        <w:jc w:val="left"/>
        <w:outlineLvl w:val="9"/>
        <w:rPr>
          <w:rFonts w:hint="eastAsia"/>
          <w:b w:val="0"/>
        </w:rPr>
      </w:pPr>
      <w:r>
        <w:rPr>
          <w:rFonts w:hint="eastAsia"/>
          <w:b w:val="0"/>
        </w:rPr>
        <w:t>本条在本标准 2016年版第 8.2. 10 条基础上发展而来。</w:t>
      </w:r>
    </w:p>
    <w:p>
      <w:pPr>
        <w:pStyle w:val="18"/>
        <w:spacing w:beforeLines="0" w:line="360" w:lineRule="auto"/>
        <w:ind w:firstLine="480"/>
        <w:jc w:val="left"/>
        <w:outlineLvl w:val="9"/>
        <w:rPr>
          <w:rFonts w:hint="eastAsia"/>
          <w:b w:val="0"/>
        </w:rPr>
      </w:pPr>
      <w:r>
        <w:rPr>
          <w:rFonts w:hint="eastAsia"/>
          <w:b w:val="0"/>
        </w:rPr>
        <w:t>第1款，良好的自然通风设计，如采用中庭、天井、通风塔、导风墙、外廊、可开启外墙或屋顶、地道风等，可以有效改善室内热湿环境和空气品质，提高人体舒适性。已有研究表明，在自然通风条件下，人们感觉热舒适和可接受的环境温度要远比空调采暖室内环境设计标准限定的热舒适温度范围来得宽泛。当室外温湿度适宜时，良好的通风效果还能够减少空调的使用。</w:t>
      </w:r>
    </w:p>
    <w:p>
      <w:pPr>
        <w:pStyle w:val="18"/>
        <w:spacing w:beforeLines="0" w:line="360" w:lineRule="auto"/>
        <w:ind w:firstLine="480"/>
        <w:jc w:val="left"/>
        <w:outlineLvl w:val="9"/>
        <w:rPr>
          <w:rFonts w:hint="eastAsia"/>
          <w:b w:val="0"/>
        </w:rPr>
      </w:pPr>
      <w:r>
        <w:rPr>
          <w:rFonts w:hint="eastAsia"/>
          <w:b w:val="0"/>
        </w:rPr>
        <w:t>第2款，卫生间是住宅内部的一个空气污染源，卫生间开设外窗有利于污浊空气的排放。</w:t>
      </w:r>
    </w:p>
    <w:p>
      <w:pPr>
        <w:pStyle w:val="18"/>
        <w:spacing w:beforeLines="0" w:line="360" w:lineRule="auto"/>
        <w:ind w:firstLine="480"/>
        <w:jc w:val="left"/>
        <w:outlineLvl w:val="9"/>
        <w:rPr>
          <w:rFonts w:hint="eastAsia"/>
          <w:b w:val="0"/>
        </w:rPr>
      </w:pPr>
      <w:r>
        <w:rPr>
          <w:rFonts w:hint="eastAsia"/>
          <w:b w:val="0"/>
        </w:rPr>
        <w:t>本条的评价方法为：预评价查阅相关设计文件，计算分析报告；评价查阅相关竣工图、计算分析报告。</w:t>
      </w:r>
    </w:p>
    <w:p>
      <w:pPr>
        <w:pStyle w:val="18"/>
        <w:spacing w:beforeLines="0" w:line="360" w:lineRule="auto"/>
        <w:ind w:firstLine="0" w:firstLineChars="0"/>
        <w:jc w:val="left"/>
        <w:outlineLvl w:val="9"/>
        <w:rPr>
          <w:rFonts w:hint="eastAsia"/>
          <w:b w:val="0"/>
        </w:rPr>
      </w:pPr>
      <w:r>
        <w:t>5.2.11</w:t>
      </w:r>
      <w:r>
        <w:rPr>
          <w:rFonts w:hint="eastAsia"/>
          <w:b w:val="0"/>
        </w:rPr>
        <w:t xml:space="preserve"> 本条适用于各类民用建筑的预评价、评价。</w:t>
      </w:r>
    </w:p>
    <w:p>
      <w:pPr>
        <w:pStyle w:val="18"/>
        <w:spacing w:beforeLines="0" w:line="360" w:lineRule="auto"/>
        <w:ind w:firstLine="480"/>
        <w:jc w:val="left"/>
        <w:outlineLvl w:val="9"/>
        <w:rPr>
          <w:rFonts w:hint="eastAsia"/>
          <w:b w:val="0"/>
        </w:rPr>
      </w:pPr>
      <w:r>
        <w:rPr>
          <w:rFonts w:hint="eastAsia"/>
          <w:b w:val="0"/>
        </w:rPr>
        <w:t>本条在本标准2016年版第8.2.8条基础上发展而来。</w:t>
      </w:r>
    </w:p>
    <w:p>
      <w:pPr>
        <w:pStyle w:val="17"/>
        <w:ind w:firstLine="480"/>
        <w:rPr>
          <w:rFonts w:hint="eastAsia" w:ascii="Times New Roman" w:hAnsi="Times New Roman"/>
        </w:rPr>
      </w:pPr>
      <w:r>
        <w:rPr>
          <w:rFonts w:ascii="Times New Roman" w:hAnsi="Times New Roman"/>
        </w:rPr>
        <w:t>透过透明围护结构的太阳辐射是造成室内温度升高的重要原因。在透明围护结构处设置遮阳设施可以有效降低辐射得热。《公共建筑节能设计标准》GB50189、</w:t>
      </w:r>
      <w:r>
        <w:rPr>
          <w:rFonts w:hint="eastAsia" w:ascii="Times New Roman" w:hAnsi="Times New Roman"/>
        </w:rPr>
        <w:t>广西壮族自治区《公共建筑节能设计标准》DBJ/T45-042、</w:t>
      </w:r>
      <w:r>
        <w:rPr>
          <w:rFonts w:ascii="Times New Roman" w:hAnsi="Times New Roman"/>
        </w:rPr>
        <w:t>《夏热冬冷地区居住建筑节能设计标准》JGJ134、《夏热冬暖地区居住建筑节能设计标准》JGJ75</w:t>
      </w:r>
      <w:r>
        <w:rPr>
          <w:rFonts w:hint="eastAsia" w:ascii="Times New Roman" w:hAnsi="Times New Roman"/>
        </w:rPr>
        <w:t>、《广西壮族自治区居住建筑节能设计标准》DBJ45/029</w:t>
      </w:r>
      <w:r>
        <w:rPr>
          <w:rFonts w:ascii="Times New Roman" w:hAnsi="Times New Roman"/>
        </w:rPr>
        <w:t>中，对处于夏热冬冷、夏热冬暖地区外窗的遮阳系数均提出了相应的限值要求。此外，从兼顾冬夏的角度考虑，遮阳应具有可调节能力。《公共建筑节能设计标准》GB50189-2015中第4.2.5条、《夏热冬冷地区居住建筑节能设计标准》JGJ134-2010中第4.0.7条、《夏热冬暖地区居住建筑节能设计标准》JGJ75-201</w:t>
      </w:r>
      <w:r>
        <w:rPr>
          <w:rFonts w:hint="eastAsia" w:ascii="Times New Roman" w:hAnsi="Times New Roman"/>
        </w:rPr>
        <w:t>2</w:t>
      </w:r>
      <w:r>
        <w:rPr>
          <w:rFonts w:ascii="Times New Roman" w:hAnsi="Times New Roman"/>
        </w:rPr>
        <w:t>中第4.0.10条均对设置活动遮阳提出了要求。</w:t>
      </w:r>
    </w:p>
    <w:p>
      <w:pPr>
        <w:pStyle w:val="18"/>
        <w:spacing w:beforeLines="0" w:line="360" w:lineRule="auto"/>
        <w:ind w:firstLine="480"/>
        <w:jc w:val="left"/>
        <w:outlineLvl w:val="9"/>
        <w:rPr>
          <w:rFonts w:hint="eastAsia"/>
          <w:b w:val="0"/>
        </w:rPr>
      </w:pPr>
      <w:r>
        <w:rPr>
          <w:rFonts w:hint="eastAsia"/>
          <w:b w:val="0"/>
        </w:rPr>
        <w:t>本条所述的可调节遮阳设施包括活动外遮阳设施（含电致变色玻璃）、中置可调遮阳设施（中空玻璃夹层可调内遮阳）、固定外遮阳（含建筑自遮阳）加内部高反射率（全波段太阳辐射反射率大于0.50)可调节遮阳设施、可调内遮阳设施等。</w:t>
      </w:r>
    </w:p>
    <w:p>
      <w:pPr>
        <w:pStyle w:val="18"/>
        <w:spacing w:beforeLines="0" w:line="360" w:lineRule="auto"/>
        <w:ind w:firstLine="480"/>
        <w:jc w:val="left"/>
        <w:outlineLvl w:val="9"/>
        <w:rPr>
          <w:rFonts w:hint="eastAsia"/>
          <w:b w:val="0"/>
        </w:rPr>
      </w:pPr>
      <w:r>
        <w:rPr>
          <w:rFonts w:hint="eastAsia"/>
          <w:b w:val="0"/>
        </w:rPr>
        <w:t>遮阳设施的面积占外窗透明部分比例Sz按下式计算：</w:t>
      </w:r>
    </w:p>
    <w:p>
      <w:pPr>
        <w:pStyle w:val="18"/>
        <w:wordWrap w:val="0"/>
        <w:spacing w:beforeLines="0" w:line="360" w:lineRule="auto"/>
        <w:ind w:firstLine="0" w:firstLineChars="0"/>
        <w:jc w:val="right"/>
        <w:outlineLvl w:val="9"/>
        <w:rPr>
          <w:b w:val="0"/>
        </w:rPr>
      </w:pPr>
      <w:r>
        <w:rPr>
          <w:b w:val="0"/>
        </w:rPr>
        <w:t xml:space="preserve">Sz=Sz0* η     </w:t>
      </w:r>
      <w:r>
        <w:rPr>
          <w:rFonts w:hint="eastAsia"/>
          <w:b w:val="0"/>
        </w:rPr>
        <w:t xml:space="preserve">                </w:t>
      </w:r>
      <w:r>
        <w:rPr>
          <w:b w:val="0"/>
        </w:rPr>
        <w:t xml:space="preserve">             (1)</w:t>
      </w:r>
    </w:p>
    <w:p>
      <w:pPr>
        <w:pStyle w:val="18"/>
        <w:spacing w:beforeLines="0" w:line="360" w:lineRule="auto"/>
        <w:ind w:left="1440" w:hanging="1440" w:hangingChars="600"/>
        <w:jc w:val="left"/>
        <w:outlineLvl w:val="9"/>
        <w:rPr>
          <w:rFonts w:hint="eastAsia"/>
          <w:b w:val="0"/>
        </w:rPr>
      </w:pPr>
      <w:r>
        <w:rPr>
          <w:rFonts w:hint="eastAsia"/>
          <w:b w:val="0"/>
        </w:rPr>
        <w:t>式中：η——遮阳方式修正系数，对于活动外遮阳设施，η为1.2；对于中置可调遮阳设施，η为1；对于固定外遮阳加内部高反射率可调节遮阳设施，η为0.8；对于可调内遮阳设施，η为0.6；</w:t>
      </w:r>
    </w:p>
    <w:p>
      <w:pPr>
        <w:pStyle w:val="18"/>
        <w:spacing w:beforeLines="0" w:line="360" w:lineRule="auto"/>
        <w:ind w:left="1365" w:leftChars="250" w:hanging="840" w:hangingChars="350"/>
        <w:jc w:val="left"/>
        <w:outlineLvl w:val="9"/>
        <w:rPr>
          <w:rFonts w:hint="eastAsia"/>
          <w:b w:val="0"/>
        </w:rPr>
      </w:pPr>
      <w:r>
        <w:rPr>
          <w:rFonts w:hint="eastAsia"/>
          <w:b w:val="0"/>
        </w:rPr>
        <w:t>Sz</w:t>
      </w:r>
      <w:r>
        <w:rPr>
          <w:rFonts w:hint="eastAsia"/>
          <w:b w:val="0"/>
          <w:sz w:val="21"/>
          <w:szCs w:val="21"/>
        </w:rPr>
        <w:t>0</w:t>
      </w:r>
      <w:r>
        <w:rPr>
          <w:rFonts w:hint="eastAsia"/>
          <w:b w:val="0"/>
        </w:rPr>
        <w:t>——遮阳设施应用面积比例。活动外遮阳、中置可调遮阳和可调内遮阳设施，可直接取其应用外窗的比例，即装置遮阳设施外窗面积占所有外窗面积的比例；对于固定外遮阳加内部高反射率可调节遮阳设施，按大暑日9: 00-17: 00 之间所有整点时刻其有效遮阳面积比例平均值进行计算，即该期间所有整点时刻其在所有外窗的投影面积占所有外窗面积比例的平均值。</w:t>
      </w:r>
    </w:p>
    <w:p>
      <w:pPr>
        <w:pStyle w:val="18"/>
        <w:spacing w:beforeLines="0" w:line="360" w:lineRule="auto"/>
        <w:ind w:firstLine="480"/>
        <w:jc w:val="left"/>
        <w:outlineLvl w:val="9"/>
        <w:rPr>
          <w:rFonts w:hint="eastAsia"/>
          <w:b w:val="0"/>
        </w:rPr>
      </w:pPr>
      <w:r>
        <w:rPr>
          <w:rFonts w:hint="eastAsia"/>
          <w:b w:val="0"/>
        </w:rPr>
        <w:t>对于按照大暑日9:00-17:00之间整点时刻没有阳光直射的透明围护结构，不计入计算。</w:t>
      </w:r>
    </w:p>
    <w:p>
      <w:pPr>
        <w:pStyle w:val="18"/>
        <w:spacing w:beforeLines="0" w:line="360" w:lineRule="auto"/>
        <w:ind w:firstLine="480"/>
        <w:jc w:val="left"/>
        <w:outlineLvl w:val="9"/>
        <w:rPr>
          <w:rFonts w:hint="eastAsia"/>
          <w:b w:val="0"/>
        </w:rPr>
      </w:pPr>
      <w:r>
        <w:rPr>
          <w:rFonts w:hint="eastAsia"/>
          <w:b w:val="0"/>
        </w:rPr>
        <w:t>本条的评价方法为：预评价查阅相关设计文件、产品说明书、计算书；评价查阅相关竣工图、产品说明书、计算书。</w:t>
      </w:r>
    </w:p>
    <w:p>
      <w:pPr>
        <w:spacing w:line="360" w:lineRule="auto"/>
        <w:jc w:val="center"/>
        <w:outlineLvl w:val="0"/>
        <w:rPr>
          <w:sz w:val="28"/>
          <w:szCs w:val="28"/>
        </w:rPr>
      </w:pPr>
      <w:r>
        <w:rPr>
          <w:sz w:val="24"/>
        </w:rPr>
        <w:br w:type="page"/>
      </w:r>
      <w:bookmarkStart w:id="134" w:name="_Toc24543016"/>
      <w:r>
        <w:rPr>
          <w:rFonts w:hint="eastAsia"/>
          <w:b/>
          <w:sz w:val="32"/>
          <w:szCs w:val="32"/>
        </w:rPr>
        <w:t>6  生 活 便 利</w:t>
      </w:r>
      <w:bookmarkEnd w:id="134"/>
    </w:p>
    <w:p>
      <w:pPr>
        <w:pStyle w:val="18"/>
        <w:spacing w:beforeLines="0" w:line="360" w:lineRule="auto"/>
        <w:ind w:firstLine="0" w:firstLineChars="0"/>
      </w:pPr>
      <w:bookmarkStart w:id="135" w:name="_Toc24543017"/>
      <w:r>
        <w:rPr>
          <w:rFonts w:hint="eastAsia"/>
        </w:rPr>
        <w:t>6.1  控 制 项</w:t>
      </w:r>
      <w:bookmarkEnd w:id="135"/>
    </w:p>
    <w:p>
      <w:pPr>
        <w:spacing w:line="360" w:lineRule="auto"/>
        <w:rPr>
          <w:sz w:val="24"/>
          <w:szCs w:val="24"/>
        </w:rPr>
      </w:pPr>
      <w:r>
        <w:rPr>
          <w:rFonts w:hint="eastAsia"/>
          <w:b/>
          <w:sz w:val="24"/>
          <w:szCs w:val="24"/>
        </w:rPr>
        <w:t xml:space="preserve">6.1.1  </w:t>
      </w:r>
      <w:r>
        <w:rPr>
          <w:rFonts w:hint="eastAsia"/>
          <w:sz w:val="24"/>
          <w:szCs w:val="24"/>
        </w:rPr>
        <w:t>本条适用于各类民用建筑的预评价、评价。</w:t>
      </w:r>
    </w:p>
    <w:p>
      <w:pPr>
        <w:spacing w:line="360" w:lineRule="auto"/>
        <w:ind w:firstLine="480" w:firstLineChars="200"/>
        <w:jc w:val="left"/>
        <w:rPr>
          <w:sz w:val="24"/>
          <w:szCs w:val="24"/>
        </w:rPr>
      </w:pPr>
      <w:r>
        <w:rPr>
          <w:rFonts w:hint="eastAsia"/>
          <w:sz w:val="24"/>
          <w:szCs w:val="24"/>
        </w:rPr>
        <w:t>本条在本标准2016年版第4.2.9条基础上发展而来。无障碍设计是充分体现和保障不同需求使用者人身安全和心理健康的重要的设计内容，是提高人民生活质最，确保不同需求的人能够出行便利、安全地使用各种设施的基本保障。本条在满足现行国家标准《无障碍设计规范》GB50763的基本要求要求在室外场地设计中，应保证无障碍步行系统连贯性设计，场地范围内的人行通道应与城市道路、场地内道路、建筑主要出入口、场地公共绿地和公共空间等相连通、连续。其中公共绿地是指为各级生活圈居住区配建的公园绿地及街头小广场。对应城市用地分类G类用地（绿地与广场用地）中的公园绿地(Gl)及广场用地(G3),不包括城市级的大型公园绿地及广场用地，也不包括居住街坊内的绿地。当场地存在高差时，应以无障碍坡道相连接。</w:t>
      </w:r>
    </w:p>
    <w:p>
      <w:pPr>
        <w:spacing w:line="360" w:lineRule="auto"/>
        <w:ind w:firstLine="480" w:firstLineChars="200"/>
        <w:jc w:val="left"/>
        <w:rPr>
          <w:sz w:val="24"/>
          <w:szCs w:val="24"/>
        </w:rPr>
      </w:pPr>
      <w:r>
        <w:rPr>
          <w:rFonts w:hint="eastAsia"/>
          <w:sz w:val="24"/>
          <w:szCs w:val="24"/>
        </w:rPr>
        <w:t>本条的评价方法为：预评价查阅相关设计文件；评价查阅相关竣工图。</w:t>
      </w:r>
    </w:p>
    <w:p>
      <w:pPr>
        <w:spacing w:line="360" w:lineRule="auto"/>
        <w:jc w:val="left"/>
        <w:rPr>
          <w:sz w:val="24"/>
          <w:szCs w:val="24"/>
        </w:rPr>
      </w:pPr>
      <w:r>
        <w:rPr>
          <w:rFonts w:hint="eastAsia"/>
          <w:b/>
          <w:sz w:val="24"/>
          <w:szCs w:val="24"/>
        </w:rPr>
        <w:t>6.1.2</w:t>
      </w:r>
      <w:r>
        <w:rPr>
          <w:rFonts w:hint="eastAsia"/>
          <w:sz w:val="24"/>
          <w:szCs w:val="24"/>
        </w:rPr>
        <w:t xml:space="preserve">  本条适用于各类民用建筑的预评价、评价。</w:t>
      </w:r>
    </w:p>
    <w:p>
      <w:pPr>
        <w:spacing w:line="360" w:lineRule="auto"/>
        <w:ind w:firstLine="480" w:firstLineChars="200"/>
        <w:jc w:val="left"/>
        <w:rPr>
          <w:sz w:val="24"/>
          <w:szCs w:val="24"/>
        </w:rPr>
      </w:pPr>
      <w:r>
        <w:rPr>
          <w:rFonts w:hint="eastAsia"/>
          <w:sz w:val="24"/>
          <w:szCs w:val="24"/>
        </w:rPr>
        <w:t>本条在本标准2016年版第4.2.8条基础上发展而来。绿色建筑应首先满足使用者绿色出行的基本要求。本条以人步行到达公共交通站点（含轨道交通站点）的适宜时间不应超过l0min作为公共交通站点设置的合理距离，强调了建筑500m范围内应设置公共交通站点，这也是促进公共交通出行的先决条件。有些项目因地处新建区，暂时未开通公交达不到本条要求的，应配备专用接驳车联系公共交通站点，以保障公交出行的便捷性。</w:t>
      </w:r>
    </w:p>
    <w:p>
      <w:pPr>
        <w:spacing w:line="360" w:lineRule="auto"/>
        <w:ind w:firstLine="480" w:firstLineChars="200"/>
        <w:jc w:val="left"/>
        <w:rPr>
          <w:sz w:val="24"/>
          <w:szCs w:val="24"/>
        </w:rPr>
      </w:pPr>
      <w:r>
        <w:rPr>
          <w:rFonts w:hint="eastAsia"/>
          <w:sz w:val="24"/>
          <w:szCs w:val="24"/>
        </w:rPr>
        <w:t>本条的评价方法为：预评价查阅相关设计文件、交通站点标识图；评价查阅相关竣工图。</w:t>
      </w:r>
    </w:p>
    <w:p>
      <w:pPr>
        <w:spacing w:line="360" w:lineRule="auto"/>
        <w:jc w:val="left"/>
        <w:rPr>
          <w:sz w:val="24"/>
          <w:szCs w:val="24"/>
        </w:rPr>
      </w:pPr>
      <w:r>
        <w:rPr>
          <w:rFonts w:hint="eastAsia"/>
          <w:b/>
          <w:sz w:val="24"/>
          <w:szCs w:val="24"/>
        </w:rPr>
        <w:t>6.1.3</w:t>
      </w:r>
      <w:r>
        <w:rPr>
          <w:rFonts w:hint="eastAsia"/>
          <w:sz w:val="24"/>
          <w:szCs w:val="24"/>
        </w:rPr>
        <w:t xml:space="preserve">  本条适用于各类民用建筑的预评价、评价。</w:t>
      </w:r>
    </w:p>
    <w:p>
      <w:pPr>
        <w:spacing w:line="360" w:lineRule="auto"/>
        <w:ind w:firstLine="480" w:firstLineChars="200"/>
        <w:jc w:val="left"/>
        <w:rPr>
          <w:sz w:val="24"/>
          <w:szCs w:val="24"/>
        </w:rPr>
      </w:pPr>
      <w:r>
        <w:rPr>
          <w:rFonts w:hint="eastAsia"/>
          <w:sz w:val="24"/>
          <w:szCs w:val="24"/>
        </w:rPr>
        <w:t>本条为新增条文。为贯彻落实国家发展改革委、国家能源局、工业与信息化部、住房城乡建设部《电动汽车充电基础设施和发展指南(2015----2020)》的要求，满足电动汽车发展的需求，本条也明确了绿色建筑配建停车场（库）应具备电动汽车充电设施或安装条件。电动汽车充电基础设施建设，应纳入工程建设预算范围、随工程统一设计与施工完成直接建设或做好预留。电动汽车停车位数量至少应达到当地相关规定要求，配置条件应按新建住宅配建停车位数量，100%建设充电设施或预留建设安装条件，为各种充电设施（充电桩、充电站等）提供接入条件。</w:t>
      </w:r>
    </w:p>
    <w:p>
      <w:pPr>
        <w:spacing w:line="360" w:lineRule="auto"/>
        <w:ind w:firstLine="480" w:firstLineChars="200"/>
        <w:jc w:val="left"/>
        <w:rPr>
          <w:sz w:val="24"/>
          <w:szCs w:val="24"/>
        </w:rPr>
      </w:pPr>
      <w:r>
        <w:rPr>
          <w:rFonts w:hint="eastAsia"/>
          <w:sz w:val="24"/>
          <w:szCs w:val="24"/>
        </w:rPr>
        <w:t>预留条件的充电车位，至少应预留外电源管线、变压器容量、一级配电应预留低压柜安装空间、干线电缆敷设条件，第二级配电应预留区域总箱的安装空间与接入系统位置和配电支路电缆敷设条件，以便按需建设充电设施。</w:t>
      </w:r>
    </w:p>
    <w:p>
      <w:pPr>
        <w:spacing w:line="360" w:lineRule="auto"/>
        <w:ind w:firstLine="480" w:firstLineChars="200"/>
        <w:jc w:val="left"/>
        <w:rPr>
          <w:sz w:val="24"/>
          <w:szCs w:val="24"/>
        </w:rPr>
      </w:pPr>
      <w:r>
        <w:rPr>
          <w:rFonts w:hint="eastAsia"/>
          <w:sz w:val="24"/>
          <w:szCs w:val="24"/>
        </w:rPr>
        <w:t>同时，根据现行国家标准《无障碍设计规范》GB50763对不同场所无障碍停车的要求，对于居住区，居住区停车场和车库的总停车位应设置不少于0.5%的无障碍机动车停车位，若设有多个停车场和车库，宜每处设置不少于1个无障碍机动车停车位；对于公共建筑，建筑基地内总停车数在100辆以下时应设置不少于1个无障碍机动车停车位，100辆以上时应设置不少于总停车数1% 的无障碍机动车停车位。本条要求停车场应合理设置电动洗车和无障碍汽车停车位。</w:t>
      </w:r>
    </w:p>
    <w:p>
      <w:pPr>
        <w:spacing w:line="360" w:lineRule="auto"/>
        <w:ind w:firstLine="480" w:firstLineChars="200"/>
        <w:jc w:val="left"/>
        <w:rPr>
          <w:sz w:val="24"/>
          <w:szCs w:val="24"/>
        </w:rPr>
      </w:pPr>
      <w:r>
        <w:rPr>
          <w:rFonts w:hint="eastAsia"/>
          <w:sz w:val="24"/>
          <w:szCs w:val="24"/>
        </w:rPr>
        <w:t>本条的评价方法为：预评价查阅相关设计文件；评价查阅相关竣工图。</w:t>
      </w:r>
    </w:p>
    <w:p>
      <w:pPr>
        <w:spacing w:line="360" w:lineRule="auto"/>
        <w:jc w:val="left"/>
        <w:rPr>
          <w:sz w:val="24"/>
          <w:szCs w:val="24"/>
        </w:rPr>
      </w:pPr>
      <w:r>
        <w:rPr>
          <w:rFonts w:hint="eastAsia"/>
          <w:b/>
          <w:sz w:val="24"/>
          <w:szCs w:val="24"/>
        </w:rPr>
        <w:t xml:space="preserve">6.1.4  </w:t>
      </w:r>
      <w:r>
        <w:rPr>
          <w:rFonts w:hint="eastAsia"/>
          <w:sz w:val="24"/>
          <w:szCs w:val="24"/>
        </w:rPr>
        <w:t>本条适用于各类民用建筑的预评价、评价。</w:t>
      </w:r>
    </w:p>
    <w:p>
      <w:pPr>
        <w:spacing w:line="360" w:lineRule="auto"/>
        <w:ind w:firstLine="480" w:firstLineChars="200"/>
        <w:jc w:val="left"/>
        <w:rPr>
          <w:sz w:val="24"/>
          <w:szCs w:val="24"/>
        </w:rPr>
      </w:pPr>
      <w:r>
        <w:rPr>
          <w:rFonts w:hint="eastAsia"/>
          <w:sz w:val="24"/>
          <w:szCs w:val="24"/>
        </w:rPr>
        <w:t>本条在本标准2016年版第4.2.10条基础上发展而来。本条为使用非机动车出行的人提供方便的停车场所，以此鼓励绿色出行。非机动车停车场所应规模适度、布局合理，符合使用者出行习惯。</w:t>
      </w:r>
    </w:p>
    <w:p>
      <w:pPr>
        <w:spacing w:line="360" w:lineRule="auto"/>
        <w:ind w:firstLine="480" w:firstLineChars="200"/>
        <w:jc w:val="left"/>
        <w:rPr>
          <w:sz w:val="24"/>
          <w:szCs w:val="24"/>
        </w:rPr>
      </w:pPr>
      <w:r>
        <w:rPr>
          <w:rFonts w:hint="eastAsia"/>
          <w:sz w:val="24"/>
          <w:szCs w:val="24"/>
        </w:rPr>
        <w:t>本条的评价方法为：预评价查阅相关设计文件；评价查阅相关竣工图。</w:t>
      </w:r>
    </w:p>
    <w:p>
      <w:pPr>
        <w:spacing w:line="360" w:lineRule="auto"/>
        <w:jc w:val="left"/>
        <w:rPr>
          <w:sz w:val="24"/>
          <w:szCs w:val="24"/>
        </w:rPr>
      </w:pPr>
      <w:r>
        <w:rPr>
          <w:rFonts w:hint="eastAsia"/>
          <w:b/>
          <w:sz w:val="24"/>
          <w:szCs w:val="24"/>
        </w:rPr>
        <w:t xml:space="preserve">6.1.5  </w:t>
      </w:r>
      <w:r>
        <w:rPr>
          <w:rFonts w:hint="eastAsia"/>
          <w:sz w:val="24"/>
          <w:szCs w:val="24"/>
        </w:rPr>
        <w:t>本条适用于各类民用建筑的预评价、评价。未设置建筑设备管理系统的建筑，本条直接通过。</w:t>
      </w:r>
    </w:p>
    <w:p>
      <w:pPr>
        <w:spacing w:line="360" w:lineRule="auto"/>
        <w:ind w:firstLine="480" w:firstLineChars="200"/>
        <w:jc w:val="left"/>
        <w:rPr>
          <w:sz w:val="24"/>
          <w:szCs w:val="24"/>
        </w:rPr>
      </w:pPr>
      <w:r>
        <w:rPr>
          <w:rFonts w:hint="eastAsia"/>
          <w:sz w:val="24"/>
          <w:szCs w:val="24"/>
        </w:rPr>
        <w:t>本条在本标准2016年版第10.1.5条基础上发展而来。本条旨在通过完善和落实建筑设备管理系统的自动监控管理功能，确保建筑物的高效运营管理。但不同规模、不同功能的建筑项目是否需要设置以及需设置的系统大小应根据实际情况合理确定，规范设置。比如当公共建筑的面积不大于2万</w:t>
      </w:r>
      <w:r>
        <w:rPr>
          <w:sz w:val="24"/>
          <w:szCs w:val="24"/>
        </w:rPr>
        <w:t>㎡</w:t>
      </w:r>
      <w:r>
        <w:rPr>
          <w:rFonts w:hint="eastAsia"/>
          <w:sz w:val="24"/>
          <w:szCs w:val="24"/>
        </w:rPr>
        <w:t>或住宅建筑面积不大于10万</w:t>
      </w:r>
      <w:r>
        <w:rPr>
          <w:rFonts w:hint="eastAsia" w:eastAsia="仿宋"/>
          <w:sz w:val="24"/>
          <w:szCs w:val="24"/>
        </w:rPr>
        <w:t>㎡</w:t>
      </w:r>
      <w:r>
        <w:rPr>
          <w:rFonts w:hint="eastAsia"/>
          <w:sz w:val="24"/>
          <w:szCs w:val="24"/>
        </w:rPr>
        <w:t>时，对于其公共设施的监控可以不设建筑设备自动监控系统，但应设置简易的节能控制措施，如对风机水泵的变频控制、不联网的就地控制器、简单的单回路反馈控制等，也都能取得良好的效果。</w:t>
      </w:r>
    </w:p>
    <w:p>
      <w:pPr>
        <w:spacing w:line="360" w:lineRule="auto"/>
        <w:ind w:firstLine="480" w:firstLineChars="200"/>
        <w:jc w:val="left"/>
        <w:rPr>
          <w:sz w:val="24"/>
          <w:szCs w:val="24"/>
        </w:rPr>
      </w:pPr>
      <w:r>
        <w:rPr>
          <w:rFonts w:hint="eastAsia"/>
          <w:sz w:val="24"/>
          <w:szCs w:val="24"/>
        </w:rPr>
        <w:t>为确保建筑高效运营管理，建筑设备管理系统的自动监控管理功能应能实现对主要设备的有效监控。</w:t>
      </w:r>
    </w:p>
    <w:p>
      <w:pPr>
        <w:spacing w:line="360" w:lineRule="auto"/>
        <w:ind w:firstLine="480" w:firstLineChars="200"/>
        <w:jc w:val="left"/>
        <w:rPr>
          <w:sz w:val="24"/>
          <w:szCs w:val="24"/>
        </w:rPr>
      </w:pPr>
      <w:r>
        <w:rPr>
          <w:rFonts w:hint="eastAsia"/>
          <w:sz w:val="24"/>
          <w:szCs w:val="24"/>
        </w:rPr>
        <w:t>本条的评价方法为：预评价查阅相关设计文件（智能化设计图纸、装修图纸）；评价查阅相关竣工图。</w:t>
      </w:r>
    </w:p>
    <w:p>
      <w:pPr>
        <w:spacing w:line="360" w:lineRule="auto"/>
        <w:jc w:val="left"/>
        <w:rPr>
          <w:sz w:val="24"/>
          <w:szCs w:val="24"/>
        </w:rPr>
      </w:pPr>
      <w:r>
        <w:rPr>
          <w:rFonts w:hint="eastAsia"/>
          <w:b/>
          <w:sz w:val="24"/>
          <w:szCs w:val="24"/>
        </w:rPr>
        <w:t>6.1.6</w:t>
      </w:r>
      <w:r>
        <w:rPr>
          <w:rFonts w:hint="eastAsia"/>
          <w:sz w:val="24"/>
          <w:szCs w:val="24"/>
        </w:rPr>
        <w:t xml:space="preserve">  本条适用于各类民用建筑的预评价、评价。</w:t>
      </w:r>
    </w:p>
    <w:p>
      <w:pPr>
        <w:spacing w:line="360" w:lineRule="auto"/>
        <w:ind w:firstLine="480" w:firstLineChars="200"/>
        <w:jc w:val="left"/>
        <w:rPr>
          <w:sz w:val="24"/>
          <w:szCs w:val="24"/>
        </w:rPr>
      </w:pPr>
      <w:r>
        <w:rPr>
          <w:rFonts w:hint="eastAsia"/>
          <w:sz w:val="24"/>
          <w:szCs w:val="24"/>
        </w:rPr>
        <w:t>本条在本标准2016年版第10.2.8条基础上发展而来。本条旨在通过信息网络系统为建筑使用者提供高效便捷的服务功能。为保证建筑的安全、高效运营，应根据现行国家标准《智能建筑设计标准》GB50314和现行行业标准《居住区智能化系统配置与技术要求》CJ/T174,设置合理、完善的信息网络系统。建筑内的信息网络系统一般分为业务信息网和智能化设施信息网，包括物理线缆层、网络交换层、安全及安全管理系统、运行维护管理系统五部分，支持建筑内语音、数据、图像等多种类信息的传输。系统和信息的安全，是系统正常运行的前提，一定要保证。建筑内信息网络系统与建筑物外其他信息网互联时，必须采取信息安全防范措施，确保信息网络系统安全、稳定和可靠。</w:t>
      </w:r>
    </w:p>
    <w:p>
      <w:pPr>
        <w:spacing w:line="360" w:lineRule="auto"/>
        <w:ind w:firstLine="480" w:firstLineChars="200"/>
        <w:jc w:val="left"/>
        <w:rPr>
          <w:sz w:val="24"/>
          <w:szCs w:val="24"/>
        </w:rPr>
      </w:pPr>
      <w:r>
        <w:rPr>
          <w:rFonts w:hint="eastAsia"/>
          <w:sz w:val="24"/>
          <w:szCs w:val="24"/>
        </w:rPr>
        <w:t>本条的评价方法为：预评价查阅相关设计文件（智能化、装修专业）；评价查阅相关竣工图。</w:t>
      </w:r>
    </w:p>
    <w:p>
      <w:pPr>
        <w:pStyle w:val="18"/>
        <w:spacing w:beforeLines="0" w:line="360" w:lineRule="auto"/>
        <w:ind w:firstLine="0" w:firstLineChars="0"/>
      </w:pPr>
      <w:bookmarkStart w:id="136" w:name="_Toc24543018"/>
      <w:r>
        <w:rPr>
          <w:rFonts w:hint="eastAsia"/>
        </w:rPr>
        <w:t>6.2  评 分 项</w:t>
      </w:r>
      <w:bookmarkEnd w:id="136"/>
    </w:p>
    <w:p>
      <w:pPr>
        <w:spacing w:line="360" w:lineRule="auto"/>
        <w:ind w:firstLine="560" w:firstLineChars="200"/>
        <w:jc w:val="center"/>
        <w:rPr>
          <w:rFonts w:eastAsia="仿宋"/>
          <w:sz w:val="28"/>
          <w:szCs w:val="28"/>
        </w:rPr>
      </w:pPr>
      <w:r>
        <w:rPr>
          <w:rFonts w:hint="eastAsia" w:eastAsia="仿宋"/>
          <w:sz w:val="28"/>
          <w:szCs w:val="28"/>
        </w:rPr>
        <w:t>I 出行与无障碍</w:t>
      </w:r>
    </w:p>
    <w:p>
      <w:pPr>
        <w:spacing w:line="360" w:lineRule="auto"/>
        <w:jc w:val="left"/>
        <w:rPr>
          <w:sz w:val="24"/>
          <w:szCs w:val="24"/>
        </w:rPr>
      </w:pPr>
      <w:r>
        <w:rPr>
          <w:rFonts w:hint="eastAsia"/>
          <w:b/>
          <w:sz w:val="24"/>
          <w:szCs w:val="24"/>
        </w:rPr>
        <w:t xml:space="preserve">6.2.1 </w:t>
      </w:r>
      <w:r>
        <w:rPr>
          <w:rFonts w:hint="eastAsia"/>
          <w:sz w:val="24"/>
          <w:szCs w:val="24"/>
        </w:rPr>
        <w:t xml:space="preserve"> 本条适用于各类民用建筑的预评价、评价。</w:t>
      </w:r>
    </w:p>
    <w:p>
      <w:pPr>
        <w:spacing w:line="360" w:lineRule="auto"/>
        <w:ind w:firstLine="480" w:firstLineChars="200"/>
        <w:jc w:val="left"/>
        <w:rPr>
          <w:sz w:val="24"/>
          <w:szCs w:val="24"/>
        </w:rPr>
      </w:pPr>
      <w:r>
        <w:rPr>
          <w:rFonts w:hint="eastAsia"/>
          <w:sz w:val="24"/>
          <w:szCs w:val="24"/>
        </w:rPr>
        <w:t>本条在本标准2016年版第4.2.8条基础上发展而来。优先发展公共交通是缓解城市交通拥堵问题的重要措施，因此建筑与公共交通联系的便捷程度很重要。本条所指公共交通站点包括公共汽车站和轨道交通站。为便于选择公共交通出行，在选址与场地规划中应重视建筑场地与公共交通站点的便捷联系，合理设置出入口。</w:t>
      </w:r>
    </w:p>
    <w:p>
      <w:pPr>
        <w:spacing w:line="360" w:lineRule="auto"/>
        <w:ind w:firstLine="480" w:firstLineChars="200"/>
        <w:jc w:val="left"/>
        <w:rPr>
          <w:sz w:val="24"/>
          <w:szCs w:val="24"/>
        </w:rPr>
      </w:pPr>
      <w:r>
        <w:rPr>
          <w:rFonts w:hint="eastAsia"/>
          <w:sz w:val="24"/>
          <w:szCs w:val="24"/>
        </w:rPr>
        <w:t>本条的评价方法为：预评价查阅相关设计文件；评价查阅相关竣工图。</w:t>
      </w:r>
    </w:p>
    <w:p>
      <w:pPr>
        <w:spacing w:line="360" w:lineRule="auto"/>
        <w:jc w:val="left"/>
        <w:rPr>
          <w:sz w:val="24"/>
          <w:szCs w:val="24"/>
        </w:rPr>
      </w:pPr>
      <w:r>
        <w:rPr>
          <w:rFonts w:hint="eastAsia"/>
          <w:b/>
          <w:sz w:val="24"/>
          <w:szCs w:val="24"/>
        </w:rPr>
        <w:t>6.2.2</w:t>
      </w:r>
      <w:r>
        <w:rPr>
          <w:rFonts w:hint="eastAsia"/>
          <w:sz w:val="24"/>
          <w:szCs w:val="24"/>
        </w:rPr>
        <w:t xml:space="preserve">  本条适用于各类民用建筑的预评价、评价。</w:t>
      </w:r>
    </w:p>
    <w:p>
      <w:pPr>
        <w:spacing w:line="360" w:lineRule="auto"/>
        <w:ind w:firstLine="480" w:firstLineChars="200"/>
        <w:jc w:val="left"/>
        <w:rPr>
          <w:sz w:val="24"/>
          <w:szCs w:val="24"/>
        </w:rPr>
      </w:pPr>
      <w:r>
        <w:rPr>
          <w:rFonts w:hint="eastAsia"/>
          <w:sz w:val="24"/>
          <w:szCs w:val="24"/>
        </w:rPr>
        <w:t>本条在本标准2016年版第4.2.9条基础上发展而来。为老年人、行动不便者提供活动场地及相应的服务设施和方便、安全的无障碍的出行环境，营造全龄友好的生活居住环境是城市建设不容忽略的重要问题。</w:t>
      </w:r>
    </w:p>
    <w:p>
      <w:pPr>
        <w:spacing w:line="360" w:lineRule="auto"/>
        <w:ind w:firstLine="480" w:firstLineChars="200"/>
        <w:jc w:val="left"/>
        <w:rPr>
          <w:sz w:val="24"/>
          <w:szCs w:val="24"/>
        </w:rPr>
      </w:pPr>
      <w:r>
        <w:rPr>
          <w:rFonts w:hint="eastAsia"/>
          <w:sz w:val="24"/>
          <w:szCs w:val="24"/>
        </w:rPr>
        <w:t>第1款，建筑内公共空间形成连续的无障碍通道，不仅能满足老人的使用需求，同时为行为障碍者、推婴儿车、搬运行李的正常人也能从中得到方便。建筑内的公共空间包括出入口、门厅、走廊、楼梯、电梯等，这些公共空间的无障碍设计符合现行国家标准《无障碍设计规范》GB50763中的相关规定，并尽可能实现场内的城市街道、室外活动场所、停车场所、各类建筑出入口和公共交通站点之间等步行系统的无障碍联通。</w:t>
      </w:r>
    </w:p>
    <w:p>
      <w:pPr>
        <w:spacing w:line="360" w:lineRule="auto"/>
        <w:ind w:firstLine="480" w:firstLineChars="200"/>
        <w:jc w:val="left"/>
        <w:rPr>
          <w:sz w:val="24"/>
          <w:szCs w:val="24"/>
        </w:rPr>
      </w:pPr>
      <w:r>
        <w:rPr>
          <w:rFonts w:hint="eastAsia"/>
          <w:sz w:val="24"/>
          <w:szCs w:val="24"/>
        </w:rPr>
        <w:t>第2款，建筑的公共区域充分考虑墙面或者易接触面不应有明显棱角或尖锐突出物，保证使用者，特别是行动不便的老人、残疾人、儿童行走安全。</w:t>
      </w:r>
    </w:p>
    <w:p>
      <w:pPr>
        <w:spacing w:line="360" w:lineRule="auto"/>
        <w:ind w:firstLine="480" w:firstLineChars="200"/>
        <w:jc w:val="left"/>
        <w:rPr>
          <w:sz w:val="24"/>
          <w:szCs w:val="24"/>
        </w:rPr>
      </w:pPr>
      <w:r>
        <w:rPr>
          <w:rFonts w:hint="eastAsia"/>
          <w:sz w:val="24"/>
          <w:szCs w:val="24"/>
        </w:rPr>
        <w:t>第3款，在老年人建筑、医疗建筑、社区综合服务中心等公共建筑，设置无障碍楼梯；在电梯的设计中，可容纳担架的电梯能保证建筑使用者出现突发病症时，更方便地利用垂直交通。</w:t>
      </w:r>
    </w:p>
    <w:p>
      <w:pPr>
        <w:spacing w:line="360" w:lineRule="auto"/>
        <w:ind w:firstLine="480" w:firstLineChars="200"/>
        <w:jc w:val="left"/>
        <w:rPr>
          <w:sz w:val="24"/>
          <w:szCs w:val="24"/>
        </w:rPr>
      </w:pPr>
      <w:r>
        <w:rPr>
          <w:rFonts w:hint="eastAsia"/>
          <w:sz w:val="24"/>
          <w:szCs w:val="24"/>
        </w:rPr>
        <w:t>本条的评价方法为：预评价查阅相关设计文件（建筑专业、景观专业）；评价查阅相关竣工图。</w:t>
      </w:r>
    </w:p>
    <w:p>
      <w:pPr>
        <w:spacing w:line="360" w:lineRule="auto"/>
        <w:ind w:firstLine="560" w:firstLineChars="200"/>
        <w:jc w:val="center"/>
        <w:rPr>
          <w:rFonts w:eastAsia="仿宋"/>
          <w:sz w:val="28"/>
          <w:szCs w:val="28"/>
        </w:rPr>
      </w:pPr>
      <w:r>
        <w:rPr>
          <w:rFonts w:hint="eastAsia" w:eastAsia="仿宋"/>
          <w:sz w:val="28"/>
          <w:szCs w:val="28"/>
        </w:rPr>
        <w:t>Ⅱ 服务设施</w:t>
      </w:r>
    </w:p>
    <w:p>
      <w:pPr>
        <w:spacing w:line="360" w:lineRule="auto"/>
        <w:jc w:val="left"/>
        <w:rPr>
          <w:sz w:val="24"/>
          <w:szCs w:val="24"/>
        </w:rPr>
      </w:pPr>
      <w:r>
        <w:rPr>
          <w:rFonts w:hint="eastAsia"/>
          <w:b/>
          <w:sz w:val="24"/>
          <w:szCs w:val="24"/>
        </w:rPr>
        <w:t>6.2.3</w:t>
      </w:r>
      <w:r>
        <w:rPr>
          <w:rFonts w:hint="eastAsia"/>
          <w:sz w:val="24"/>
          <w:szCs w:val="24"/>
        </w:rPr>
        <w:t xml:space="preserve">  本条适用于各类民用建筑的预评价、评价。</w:t>
      </w:r>
    </w:p>
    <w:p>
      <w:pPr>
        <w:spacing w:line="360" w:lineRule="auto"/>
        <w:ind w:firstLine="480" w:firstLineChars="200"/>
        <w:jc w:val="left"/>
        <w:rPr>
          <w:sz w:val="24"/>
          <w:szCs w:val="24"/>
        </w:rPr>
      </w:pPr>
      <w:r>
        <w:rPr>
          <w:rFonts w:hint="eastAsia"/>
          <w:sz w:val="24"/>
          <w:szCs w:val="24"/>
        </w:rPr>
        <w:t>本条在本标准2016年版第4.2.11条基础上发展而来。本标准与现行国家标准《城市居住区规划设计标准》GB50180进行了对接，居住区的配套设施是指对应居住区分级配套规划建设，并与居住人口规模或住宅建筑面积规模相匹配的生活服务设施；主要包括公共管理与公共服务设施、商业服务业设施、市政公用设施、交通场站及社区服务设施、便民服务设施。本条选取了居民使用频率较高或对便利性要求较高的配套设施进行评价，突出步行可达的便利性设计原则。本次修订特别增加了医院、各类群众文化活动设施、老年人日间照料中心、电动自行车充电设施等公共服务设施的评价内容，强化了对公共服务水平的评价。其中医院含卫生服务中心、社区医院，群众文化活动设施含文化馆、文化宫、文化活动中心、老年人或儿童活动中心等。</w:t>
      </w:r>
    </w:p>
    <w:p>
      <w:pPr>
        <w:spacing w:line="360" w:lineRule="auto"/>
        <w:ind w:firstLine="480" w:firstLineChars="200"/>
        <w:jc w:val="left"/>
        <w:rPr>
          <w:sz w:val="24"/>
          <w:szCs w:val="24"/>
        </w:rPr>
      </w:pPr>
      <w:r>
        <w:rPr>
          <w:rFonts w:hint="eastAsia"/>
          <w:sz w:val="24"/>
          <w:szCs w:val="24"/>
        </w:rPr>
        <w:t>公共建筑兼容2种及以上主要公共服务功能是指主要服务功能在建筑内部混合布局，如建筑中设有共用的会议设施、展览设施、健身设施、餐饮设施等以及交往空间、休息空间等空间，提供休息座位、家属室、母婴室、活动室等人员停留、沟通交流、聚集活动等与建筑主要使用功能相适应的公共空间。</w:t>
      </w:r>
    </w:p>
    <w:p>
      <w:pPr>
        <w:spacing w:line="360" w:lineRule="auto"/>
        <w:ind w:firstLine="480" w:firstLineChars="200"/>
        <w:jc w:val="left"/>
        <w:rPr>
          <w:rFonts w:hint="eastAsia"/>
          <w:sz w:val="24"/>
          <w:szCs w:val="24"/>
        </w:rPr>
      </w:pPr>
      <w:r>
        <w:rPr>
          <w:rFonts w:hint="eastAsia"/>
          <w:sz w:val="24"/>
          <w:szCs w:val="24"/>
        </w:rPr>
        <w:t>公共服务功能设施向社会开放共享的方式也具有多种形式，可以全时开放，也可根据自身使用情况错时开放。例如文化活动中心、图书馆、体育运动场、体育馆等，通过科学管理错时向社会公众开放；办公建筑的室外场地、停车库等在非办公时间向周边居民开放，会议室等向社会开放等。电动汽车充电桩的车位数占总车位数的比例不低于10%,是适应电动汽车发展的必要措施。周边500m 范围内设有社会公共停车场（库），也是对社会设施共享共用、建筑使用者出行便捷性的重要评价内容。本次修订还增加了城市步行公共通道、电动自行车充电设施评价内容。</w:t>
      </w:r>
    </w:p>
    <w:p>
      <w:pPr>
        <w:spacing w:line="360" w:lineRule="auto"/>
        <w:ind w:firstLine="480" w:firstLineChars="200"/>
        <w:jc w:val="left"/>
        <w:rPr>
          <w:sz w:val="24"/>
          <w:szCs w:val="24"/>
        </w:rPr>
      </w:pPr>
      <w:r>
        <w:rPr>
          <w:rFonts w:hint="eastAsia"/>
          <w:sz w:val="24"/>
          <w:szCs w:val="24"/>
        </w:rPr>
        <w:t>本条的评价方法为：预评价查阅相关设计文件、位置标识图；评价查阅相关竣工图，投入使用的项目尚应查阅设施向社会共享的实施方案、工作记录等。</w:t>
      </w:r>
    </w:p>
    <w:p>
      <w:pPr>
        <w:spacing w:line="360" w:lineRule="auto"/>
        <w:jc w:val="left"/>
        <w:rPr>
          <w:sz w:val="24"/>
          <w:szCs w:val="24"/>
        </w:rPr>
      </w:pPr>
      <w:r>
        <w:rPr>
          <w:rFonts w:hint="eastAsia"/>
          <w:b/>
          <w:sz w:val="24"/>
          <w:szCs w:val="24"/>
        </w:rPr>
        <w:t>6.2.4</w:t>
      </w:r>
      <w:r>
        <w:rPr>
          <w:rFonts w:hint="eastAsia"/>
          <w:sz w:val="24"/>
          <w:szCs w:val="24"/>
        </w:rPr>
        <w:t xml:space="preserve">  本条适用于各类民用建筑的预评价、评价。</w:t>
      </w:r>
    </w:p>
    <w:p>
      <w:pPr>
        <w:spacing w:line="360" w:lineRule="auto"/>
        <w:ind w:firstLine="480" w:firstLineChars="200"/>
        <w:jc w:val="left"/>
        <w:rPr>
          <w:sz w:val="24"/>
          <w:szCs w:val="24"/>
        </w:rPr>
      </w:pPr>
      <w:r>
        <w:rPr>
          <w:rFonts w:hint="eastAsia"/>
          <w:sz w:val="24"/>
          <w:szCs w:val="24"/>
        </w:rPr>
        <w:t>本条为新增条文。强调了城市公共开敞空间、运动场所的便捷性、可达性。</w:t>
      </w:r>
    </w:p>
    <w:p>
      <w:pPr>
        <w:spacing w:line="360" w:lineRule="auto"/>
        <w:ind w:firstLine="480" w:firstLineChars="200"/>
        <w:jc w:val="left"/>
        <w:rPr>
          <w:sz w:val="24"/>
          <w:szCs w:val="24"/>
        </w:rPr>
      </w:pPr>
      <w:r>
        <w:rPr>
          <w:rFonts w:hint="eastAsia"/>
          <w:sz w:val="24"/>
          <w:szCs w:val="24"/>
        </w:rPr>
        <w:t>第1款，建筑以主要出入口步行300m即可到达任何1个城市公园绿地、城市广场进行得分评价，其中住宅建筑还包括居住区公园；</w:t>
      </w:r>
    </w:p>
    <w:p>
      <w:pPr>
        <w:spacing w:line="360" w:lineRule="auto"/>
        <w:ind w:firstLine="480" w:firstLineChars="200"/>
        <w:jc w:val="left"/>
        <w:rPr>
          <w:sz w:val="24"/>
          <w:szCs w:val="24"/>
        </w:rPr>
      </w:pPr>
      <w:r>
        <w:rPr>
          <w:rFonts w:hint="eastAsia"/>
          <w:sz w:val="24"/>
          <w:szCs w:val="24"/>
        </w:rPr>
        <w:t>第2款，提出步行500m应能够到达1处中型多功能运动场地（大约1300㎡～2500㎡,集中设置了篮球、排球、5人足球的运动场地），或是其他对外开放的专用运动场，如学校对外开放的运动场。符合《中共中央国务院关于进一步加强城市规划建设管理工作的若干意见》提出的“合理规划建设广场、公园、步行道等公共活动空间，方便居民文体活动，促进居民交流。强化绿地服务群众日常活动的功能，使市民在居家和工作附近能够见到绿地、亲近绿地”的要求。</w:t>
      </w:r>
    </w:p>
    <w:p>
      <w:pPr>
        <w:spacing w:line="360" w:lineRule="auto"/>
        <w:ind w:firstLine="480" w:firstLineChars="200"/>
        <w:jc w:val="left"/>
        <w:rPr>
          <w:sz w:val="24"/>
          <w:szCs w:val="24"/>
        </w:rPr>
      </w:pPr>
      <w:r>
        <w:rPr>
          <w:rFonts w:hint="eastAsia"/>
          <w:sz w:val="24"/>
          <w:szCs w:val="24"/>
        </w:rPr>
        <w:t>本条的评价方法为：预评价查阅相关设计文件、位置标识图；评价查阅相关竣I 图。</w:t>
      </w:r>
    </w:p>
    <w:p>
      <w:pPr>
        <w:spacing w:line="360" w:lineRule="auto"/>
        <w:jc w:val="left"/>
        <w:rPr>
          <w:sz w:val="24"/>
          <w:szCs w:val="24"/>
        </w:rPr>
      </w:pPr>
      <w:r>
        <w:rPr>
          <w:rFonts w:hint="eastAsia"/>
          <w:b/>
          <w:sz w:val="24"/>
          <w:szCs w:val="24"/>
        </w:rPr>
        <w:t>6.2.5</w:t>
      </w:r>
      <w:r>
        <w:rPr>
          <w:rFonts w:hint="eastAsia"/>
          <w:sz w:val="24"/>
          <w:szCs w:val="24"/>
        </w:rPr>
        <w:t xml:space="preserve">  本条适用于各类民用建筑的预评价、评价。</w:t>
      </w:r>
    </w:p>
    <w:p>
      <w:pPr>
        <w:spacing w:line="360" w:lineRule="auto"/>
        <w:ind w:firstLine="480" w:firstLineChars="200"/>
        <w:jc w:val="left"/>
        <w:rPr>
          <w:sz w:val="24"/>
          <w:szCs w:val="24"/>
        </w:rPr>
      </w:pPr>
      <w:r>
        <w:rPr>
          <w:rFonts w:hint="eastAsia"/>
          <w:sz w:val="24"/>
          <w:szCs w:val="24"/>
        </w:rPr>
        <w:t>本条为新增条文。随着人们对健康生活的重视，人们对健身活动越来越热衷。健身活动有利于人体骨骼、肌肉的生长，增强心肺功能，改善血液循环系统、呼吸系统、消化系统的机能状况，有利于人体的生长发育，提高抗病能力，增强有机体的适应能力。室外健身可以促进人们更多的接触自然，提高对环境的适应能力，也有益于心理健康，对保障人体健康具有重要意义。</w:t>
      </w:r>
    </w:p>
    <w:p>
      <w:pPr>
        <w:spacing w:line="360" w:lineRule="auto"/>
        <w:ind w:firstLine="480" w:firstLineChars="200"/>
        <w:jc w:val="left"/>
        <w:rPr>
          <w:sz w:val="24"/>
          <w:szCs w:val="24"/>
        </w:rPr>
      </w:pPr>
      <w:r>
        <w:rPr>
          <w:rFonts w:hint="eastAsia"/>
          <w:sz w:val="24"/>
          <w:szCs w:val="24"/>
        </w:rPr>
        <w:t>第1款，要求设置集中的室外健身活动区。健身场地的设置位置应避免噪声扰民，并根据运动类型设置适当的隔声措施；健身场地设置应进行全龄化的设计，满足各年龄段人群的室外活动要求。</w:t>
      </w:r>
    </w:p>
    <w:p>
      <w:pPr>
        <w:spacing w:line="360" w:lineRule="auto"/>
        <w:ind w:firstLine="480" w:firstLineChars="200"/>
        <w:jc w:val="left"/>
        <w:rPr>
          <w:sz w:val="24"/>
          <w:szCs w:val="24"/>
        </w:rPr>
      </w:pPr>
      <w:r>
        <w:rPr>
          <w:rFonts w:hint="eastAsia"/>
          <w:sz w:val="24"/>
          <w:szCs w:val="24"/>
        </w:rPr>
        <w:t>第2款，健身慢行道是指在场地内设置的供人们进行行走、慢跑的专门道路。健身慢行道应尽可能避免与场地内车行道交叉，步道宜采用弹性减振、防滑和环保的材料，如塑胶、彩色陶粒等。步道宽度不少于1.25m,源自原建设部以及原国土资源部联合发布的《城市社区体育设施建设用地指标》的要求。</w:t>
      </w:r>
    </w:p>
    <w:p>
      <w:pPr>
        <w:spacing w:line="360" w:lineRule="auto"/>
        <w:ind w:firstLine="480" w:firstLineChars="200"/>
        <w:jc w:val="left"/>
        <w:rPr>
          <w:sz w:val="24"/>
          <w:szCs w:val="24"/>
        </w:rPr>
      </w:pPr>
      <w:r>
        <w:rPr>
          <w:rFonts w:hint="eastAsia"/>
          <w:sz w:val="24"/>
          <w:szCs w:val="24"/>
        </w:rPr>
        <w:t>第3款，鼓励建筑或社区中可设置健身房，或利用公共空间（如小区会所、入口大堂、休闲平台、共享空间等）设置健身区，配置一些健身器材，提供给人们全天候进行健身活动的条件，鼓励积极健康的生活方式。健康空间还包括开放共享的羽毛球室、乒乓球室。</w:t>
      </w:r>
    </w:p>
    <w:p>
      <w:pPr>
        <w:spacing w:line="360" w:lineRule="auto"/>
        <w:ind w:firstLine="480" w:firstLineChars="200"/>
        <w:jc w:val="left"/>
        <w:rPr>
          <w:sz w:val="24"/>
          <w:szCs w:val="24"/>
        </w:rPr>
      </w:pPr>
      <w:r>
        <w:rPr>
          <w:rFonts w:hint="eastAsia"/>
          <w:sz w:val="24"/>
          <w:szCs w:val="24"/>
        </w:rPr>
        <w:t>第4款，鼓励将楼梯设置在靠近主入口的地方。楼梯间内有天然采光、有良好的视野和人体感应灯，可以提高楼梯间锻炼的舒适度。</w:t>
      </w:r>
    </w:p>
    <w:p>
      <w:pPr>
        <w:spacing w:line="360" w:lineRule="auto"/>
        <w:ind w:firstLine="480" w:firstLineChars="200"/>
        <w:jc w:val="left"/>
        <w:rPr>
          <w:sz w:val="24"/>
          <w:szCs w:val="24"/>
        </w:rPr>
      </w:pPr>
      <w:r>
        <w:rPr>
          <w:rFonts w:hint="eastAsia"/>
          <w:sz w:val="24"/>
          <w:szCs w:val="24"/>
        </w:rPr>
        <w:t>本条的评价方法为：预评价查阅相关设计文件、场地布置图，产品说明书；评价查阅相关竣工图、产品说明书。</w:t>
      </w:r>
    </w:p>
    <w:p>
      <w:pPr>
        <w:spacing w:line="360" w:lineRule="auto"/>
        <w:ind w:firstLine="560" w:firstLineChars="200"/>
        <w:jc w:val="center"/>
        <w:rPr>
          <w:rFonts w:eastAsia="仿宋"/>
          <w:sz w:val="28"/>
          <w:szCs w:val="28"/>
        </w:rPr>
      </w:pPr>
      <w:r>
        <w:rPr>
          <w:rFonts w:hint="eastAsia" w:eastAsia="仿宋"/>
          <w:sz w:val="28"/>
          <w:szCs w:val="28"/>
        </w:rPr>
        <w:t>Ⅲ 智慧运行</w:t>
      </w:r>
    </w:p>
    <w:p>
      <w:pPr>
        <w:tabs>
          <w:tab w:val="left" w:pos="1197"/>
        </w:tabs>
        <w:snapToGrid w:val="0"/>
        <w:spacing w:line="360" w:lineRule="auto"/>
        <w:ind w:left="114" w:right="217"/>
        <w:jc w:val="left"/>
        <w:rPr>
          <w:snapToGrid w:val="0"/>
          <w:sz w:val="24"/>
          <w:szCs w:val="24"/>
        </w:rPr>
      </w:pPr>
      <w:r>
        <w:rPr>
          <w:b/>
          <w:bCs/>
          <w:snapToGrid w:val="0"/>
          <w:sz w:val="24"/>
          <w:szCs w:val="24"/>
        </w:rPr>
        <w:t>6.2.6</w:t>
      </w:r>
      <w:r>
        <w:rPr>
          <w:rFonts w:hint="eastAsia"/>
          <w:b/>
          <w:bCs/>
          <w:snapToGrid w:val="0"/>
          <w:sz w:val="24"/>
          <w:szCs w:val="24"/>
        </w:rPr>
        <w:t xml:space="preserve">  </w:t>
      </w:r>
      <w:r>
        <w:rPr>
          <w:snapToGrid w:val="0"/>
          <w:sz w:val="24"/>
          <w:szCs w:val="24"/>
        </w:rPr>
        <w:t>本条适用于各类民用建筑的预评价、评价。</w:t>
      </w:r>
    </w:p>
    <w:p>
      <w:pPr>
        <w:pStyle w:val="4"/>
        <w:snapToGrid w:val="0"/>
        <w:spacing w:line="360" w:lineRule="auto"/>
        <w:ind w:firstLine="480" w:firstLineChars="200"/>
        <w:rPr>
          <w:rFonts w:ascii="Times New Roman" w:hAnsi="Times New Roman"/>
          <w:snapToGrid w:val="0"/>
          <w:sz w:val="24"/>
          <w:szCs w:val="24"/>
        </w:rPr>
      </w:pPr>
      <w:r>
        <w:rPr>
          <w:rFonts w:ascii="Times New Roman" w:hAnsi="Times New Roman"/>
          <w:snapToGrid w:val="0"/>
          <w:sz w:val="24"/>
          <w:szCs w:val="24"/>
        </w:rPr>
        <w:t>本条在本标准201</w:t>
      </w:r>
      <w:r>
        <w:rPr>
          <w:rFonts w:hint="eastAsia" w:ascii="Times New Roman" w:hAnsi="Times New Roman"/>
          <w:snapToGrid w:val="0"/>
          <w:sz w:val="24"/>
          <w:szCs w:val="24"/>
        </w:rPr>
        <w:t>6</w:t>
      </w:r>
      <w:r>
        <w:rPr>
          <w:rFonts w:ascii="Times New Roman" w:hAnsi="Times New Roman"/>
          <w:snapToGrid w:val="0"/>
          <w:sz w:val="24"/>
          <w:szCs w:val="24"/>
        </w:rPr>
        <w:t>年版第5</w:t>
      </w:r>
      <w:r>
        <w:rPr>
          <w:rFonts w:hint="eastAsia" w:ascii="Times New Roman" w:hAnsi="Times New Roman"/>
          <w:snapToGrid w:val="0"/>
          <w:sz w:val="24"/>
          <w:szCs w:val="24"/>
        </w:rPr>
        <w:t>.</w:t>
      </w:r>
      <w:r>
        <w:rPr>
          <w:rFonts w:ascii="Times New Roman" w:hAnsi="Times New Roman"/>
          <w:snapToGrid w:val="0"/>
          <w:sz w:val="24"/>
          <w:szCs w:val="24"/>
        </w:rPr>
        <w:t>1</w:t>
      </w:r>
      <w:r>
        <w:rPr>
          <w:rFonts w:hint="eastAsia" w:ascii="Times New Roman" w:hAnsi="Times New Roman"/>
          <w:snapToGrid w:val="0"/>
          <w:sz w:val="24"/>
          <w:szCs w:val="24"/>
        </w:rPr>
        <w:t>.</w:t>
      </w:r>
      <w:r>
        <w:rPr>
          <w:rFonts w:ascii="Times New Roman" w:hAnsi="Times New Roman"/>
          <w:snapToGrid w:val="0"/>
          <w:sz w:val="24"/>
          <w:szCs w:val="24"/>
        </w:rPr>
        <w:t>3条基础上发展而来。本条旨在保障且体现绿色建筑达到预期的运营效果，建筑至少应对建筑最基本的能源资源消耗量设置管理系统。但不同规模、不同功能的建筑项目需设置的系统大小及是否需要设置应根据实际情况合理确定。</w:t>
      </w:r>
    </w:p>
    <w:p>
      <w:pPr>
        <w:pStyle w:val="4"/>
        <w:tabs>
          <w:tab w:val="left" w:pos="6137"/>
        </w:tabs>
        <w:snapToGrid w:val="0"/>
        <w:spacing w:line="360" w:lineRule="auto"/>
        <w:ind w:firstLine="480" w:firstLineChars="200"/>
        <w:rPr>
          <w:rFonts w:hint="eastAsia" w:ascii="Times New Roman" w:hAnsi="Times New Roman"/>
          <w:snapToGrid w:val="0"/>
          <w:sz w:val="24"/>
          <w:szCs w:val="24"/>
        </w:rPr>
      </w:pPr>
      <w:r>
        <w:rPr>
          <w:rFonts w:ascii="Times New Roman" w:hAnsi="Times New Roman"/>
          <w:snapToGrid w:val="0"/>
          <w:sz w:val="24"/>
          <w:szCs w:val="24"/>
        </w:rPr>
        <w:t>本条要求设置电、气、热的能耗计量系统和能源管理系统。计量系统是实现运行节能、优化系统设置的基础条件，能源管理系统使建筑能耗可知、可见、可控，从而达到优化运行、降低消耗的目的。冷热源、输配系统和电气等各部分能源应进行独立分项计量，并能实现远传，其中冷热源、输配系统的主要设备包括冷热水机组、冷热水泵、新风机组、空气处理机组、冷却塔等，电气系统包括照明、插座、动力等。对于住宅建筑，主要针对公共区域提出要求，对于住户仅要求每个单元(或楼栋)设置可远传的计量总表。</w:t>
      </w:r>
    </w:p>
    <w:p>
      <w:pPr>
        <w:pStyle w:val="4"/>
        <w:snapToGrid w:val="0"/>
        <w:spacing w:before="44" w:line="360" w:lineRule="auto"/>
        <w:ind w:right="109" w:firstLine="480" w:firstLineChars="200"/>
        <w:jc w:val="left"/>
        <w:rPr>
          <w:rFonts w:ascii="Times New Roman" w:hAnsi="Times New Roman"/>
          <w:snapToGrid w:val="0"/>
          <w:sz w:val="24"/>
          <w:szCs w:val="24"/>
        </w:rPr>
      </w:pPr>
      <w:r>
        <w:rPr>
          <w:rFonts w:ascii="Times New Roman" w:hAnsi="Times New Roman"/>
          <w:snapToGrid w:val="0"/>
          <w:sz w:val="24"/>
          <w:szCs w:val="24"/>
        </w:rPr>
        <w:t>计量器具应满足现行国家标准《用能单位能源、计量器具配备和管理通则》GB</w:t>
      </w:r>
      <w:r>
        <w:rPr>
          <w:rFonts w:hint="eastAsia" w:ascii="Times New Roman" w:hAnsi="Times New Roman"/>
          <w:snapToGrid w:val="0"/>
          <w:sz w:val="24"/>
          <w:szCs w:val="24"/>
        </w:rPr>
        <w:t xml:space="preserve"> </w:t>
      </w:r>
      <w:r>
        <w:rPr>
          <w:rFonts w:ascii="Times New Roman" w:hAnsi="Times New Roman"/>
          <w:snapToGrid w:val="0"/>
          <w:sz w:val="24"/>
          <w:szCs w:val="24"/>
        </w:rPr>
        <w:t>17167中的要求。</w:t>
      </w:r>
    </w:p>
    <w:p>
      <w:pPr>
        <w:pStyle w:val="4"/>
        <w:snapToGrid w:val="0"/>
        <w:spacing w:line="360" w:lineRule="auto"/>
        <w:ind w:firstLine="480" w:firstLineChars="200"/>
        <w:rPr>
          <w:rFonts w:ascii="Times New Roman" w:hAnsi="Times New Roman"/>
          <w:snapToGrid w:val="0"/>
          <w:sz w:val="24"/>
          <w:szCs w:val="24"/>
        </w:rPr>
      </w:pPr>
      <w:r>
        <w:rPr>
          <w:rFonts w:ascii="Times New Roman" w:hAnsi="Times New Roman"/>
          <w:snapToGrid w:val="0"/>
          <w:sz w:val="24"/>
          <w:szCs w:val="24"/>
        </w:rPr>
        <w:t>本条要求在计量基础上，通过能源管理系统实现数据传输、存储、分析功能，系统可存储数据均应不少于一年。</w:t>
      </w:r>
    </w:p>
    <w:p>
      <w:pPr>
        <w:pStyle w:val="4"/>
        <w:snapToGrid w:val="0"/>
        <w:spacing w:line="360" w:lineRule="auto"/>
        <w:ind w:firstLine="480" w:firstLineChars="200"/>
        <w:rPr>
          <w:rFonts w:ascii="Times New Roman" w:hAnsi="Times New Roman"/>
          <w:snapToGrid w:val="0"/>
          <w:sz w:val="24"/>
          <w:szCs w:val="24"/>
        </w:rPr>
      </w:pPr>
      <w:r>
        <w:rPr>
          <w:rFonts w:ascii="Times New Roman" w:hAnsi="Times New Roman"/>
          <w:snapToGrid w:val="0"/>
          <w:sz w:val="24"/>
          <w:szCs w:val="24"/>
        </w:rPr>
        <w:t>本条的评价方法为：预评价查阅相关设计文件（能源系统设计图纸、能源管理系统配置等）；评价查阅相关竣工图、产品型式检验报告，投入使用的项目尚应查阅管理制度、历史监测数据、运行记录。</w:t>
      </w:r>
    </w:p>
    <w:p>
      <w:pPr>
        <w:pStyle w:val="4"/>
        <w:tabs>
          <w:tab w:val="left" w:pos="1194"/>
        </w:tabs>
        <w:snapToGrid w:val="0"/>
        <w:spacing w:before="4" w:line="360" w:lineRule="auto"/>
        <w:ind w:left="113" w:right="116"/>
        <w:jc w:val="left"/>
        <w:rPr>
          <w:rFonts w:ascii="Times New Roman" w:hAnsi="Times New Roman"/>
          <w:snapToGrid w:val="0"/>
          <w:sz w:val="24"/>
          <w:szCs w:val="24"/>
        </w:rPr>
      </w:pPr>
      <w:r>
        <w:rPr>
          <w:rFonts w:ascii="Times New Roman" w:hAnsi="Times New Roman"/>
          <w:b/>
          <w:bCs/>
          <w:snapToGrid w:val="0"/>
          <w:sz w:val="24"/>
          <w:szCs w:val="24"/>
        </w:rPr>
        <w:t>6.2.7</w:t>
      </w:r>
      <w:r>
        <w:rPr>
          <w:rFonts w:hint="eastAsia" w:ascii="Times New Roman" w:hAnsi="Times New Roman"/>
          <w:b/>
          <w:bCs/>
          <w:snapToGrid w:val="0"/>
          <w:sz w:val="24"/>
          <w:szCs w:val="24"/>
        </w:rPr>
        <w:t xml:space="preserve">  </w:t>
      </w:r>
      <w:r>
        <w:rPr>
          <w:rFonts w:ascii="Times New Roman" w:hAnsi="Times New Roman"/>
          <w:snapToGrid w:val="0"/>
          <w:sz w:val="24"/>
          <w:szCs w:val="24"/>
        </w:rPr>
        <w:t>本条适用于各类民用建筑的预评价、评价。</w:t>
      </w:r>
    </w:p>
    <w:p>
      <w:pPr>
        <w:spacing w:line="360" w:lineRule="auto"/>
        <w:ind w:firstLine="420"/>
        <w:rPr>
          <w:bCs/>
          <w:kern w:val="44"/>
          <w:sz w:val="24"/>
          <w:szCs w:val="24"/>
        </w:rPr>
      </w:pPr>
      <w:r>
        <w:rPr>
          <w:sz w:val="24"/>
          <w:szCs w:val="24"/>
        </w:rPr>
        <w:t>本条在</w:t>
      </w:r>
      <w:r>
        <w:rPr>
          <w:rFonts w:hint="eastAsia"/>
          <w:sz w:val="24"/>
          <w:szCs w:val="24"/>
        </w:rPr>
        <w:t>本</w:t>
      </w:r>
      <w:r>
        <w:rPr>
          <w:sz w:val="24"/>
          <w:szCs w:val="24"/>
        </w:rPr>
        <w:t>标准2016版8.2.12条的基础上发展而来。</w:t>
      </w:r>
    </w:p>
    <w:p>
      <w:pPr>
        <w:spacing w:line="360" w:lineRule="auto"/>
        <w:ind w:firstLine="420"/>
        <w:rPr>
          <w:sz w:val="24"/>
          <w:szCs w:val="24"/>
        </w:rPr>
      </w:pPr>
      <w:r>
        <w:rPr>
          <w:sz w:val="24"/>
          <w:szCs w:val="24"/>
        </w:rPr>
        <w:t>旨在引导保持理想的室内空气质量指标，必须不断收集建筑室内空气质量测试数据。空气污染物传感装置和智能化技术的完善普及，使对建筑内空气污染物的实时采集监测成为可能。当所监测的空气质量偏离理想阈值时，系统应做出警示，建筑管理方应对可能影响这些指标的系统做出及时的调试或调整。将监测发布系统与建筑内空气质量调控设备组成自动控制系统，可实现室内环境的智能化调控，在维持建筑室内环境健康舒适的同时减少不必要的能源消耗。本条文要求</w:t>
      </w:r>
      <w:r>
        <w:rPr>
          <w:rFonts w:hint="eastAsia"/>
          <w:sz w:val="24"/>
          <w:szCs w:val="24"/>
        </w:rPr>
        <w:t>住宅建筑和宿舍建筑每户均应设置空气质量监控系统，公共建筑主要功能房间应设置空气质量监控系统。对于安装监控系统的建筑，系统</w:t>
      </w:r>
      <w:r>
        <w:rPr>
          <w:sz w:val="24"/>
          <w:szCs w:val="24"/>
        </w:rPr>
        <w:t>至少对PM</w:t>
      </w:r>
      <w:r>
        <w:rPr>
          <w:sz w:val="24"/>
          <w:szCs w:val="24"/>
          <w:vertAlign w:val="subscript"/>
        </w:rPr>
        <w:t>2.5</w:t>
      </w:r>
      <w:r>
        <w:rPr>
          <w:sz w:val="24"/>
          <w:szCs w:val="24"/>
        </w:rPr>
        <w:t>、PM</w:t>
      </w:r>
      <w:r>
        <w:rPr>
          <w:sz w:val="24"/>
          <w:szCs w:val="24"/>
          <w:vertAlign w:val="subscript"/>
        </w:rPr>
        <w:t>10</w:t>
      </w:r>
      <w:r>
        <w:rPr>
          <w:sz w:val="24"/>
          <w:szCs w:val="24"/>
        </w:rPr>
        <w:t>、CO</w:t>
      </w:r>
      <w:r>
        <w:rPr>
          <w:sz w:val="24"/>
          <w:szCs w:val="24"/>
          <w:vertAlign w:val="subscript"/>
        </w:rPr>
        <w:t>2</w:t>
      </w:r>
      <w:r>
        <w:rPr>
          <w:sz w:val="24"/>
          <w:szCs w:val="24"/>
        </w:rPr>
        <w:t>分别进行定时连续测量、显示、记录和数据传输，监测系统对污染物浓度的读数时间间隔不得长于10min。</w:t>
      </w:r>
    </w:p>
    <w:p>
      <w:pPr>
        <w:pStyle w:val="4"/>
        <w:snapToGrid w:val="0"/>
        <w:spacing w:before="2" w:line="360" w:lineRule="auto"/>
        <w:ind w:right="116" w:firstLine="480" w:firstLineChars="200"/>
        <w:jc w:val="left"/>
        <w:rPr>
          <w:rFonts w:ascii="Times New Roman" w:hAnsi="Times New Roman"/>
          <w:snapToGrid w:val="0"/>
          <w:sz w:val="24"/>
          <w:szCs w:val="24"/>
        </w:rPr>
      </w:pPr>
      <w:r>
        <w:rPr>
          <w:rFonts w:ascii="Times New Roman" w:hAnsi="Times New Roman"/>
          <w:snapToGrid w:val="0"/>
          <w:sz w:val="24"/>
          <w:szCs w:val="24"/>
        </w:rPr>
        <w:t>本条的评价方法为：预评价查阅相关设计文件(监测系统设计图纸、点位图等)；评价查阅相关竣工图、产品型式检验报告，投入使用的项目尚应查阅管理制度、历史监测数据、运行记录。</w:t>
      </w:r>
    </w:p>
    <w:p>
      <w:pPr>
        <w:pStyle w:val="4"/>
        <w:tabs>
          <w:tab w:val="left" w:pos="1333"/>
        </w:tabs>
        <w:snapToGrid w:val="0"/>
        <w:spacing w:before="82" w:line="360" w:lineRule="auto"/>
        <w:ind w:left="723" w:right="1939" w:hanging="723" w:hangingChars="300"/>
        <w:jc w:val="left"/>
        <w:rPr>
          <w:rFonts w:ascii="Times New Roman" w:hAnsi="Times New Roman"/>
          <w:snapToGrid w:val="0"/>
          <w:sz w:val="24"/>
          <w:szCs w:val="24"/>
        </w:rPr>
      </w:pPr>
      <w:r>
        <w:rPr>
          <w:rFonts w:ascii="Times New Roman" w:hAnsi="Times New Roman"/>
          <w:b/>
          <w:bCs/>
          <w:snapToGrid w:val="0"/>
          <w:sz w:val="24"/>
          <w:szCs w:val="24"/>
        </w:rPr>
        <w:t>6.2.8</w:t>
      </w:r>
      <w:r>
        <w:rPr>
          <w:rFonts w:hint="eastAsia" w:ascii="Times New Roman" w:hAnsi="Times New Roman"/>
          <w:b/>
          <w:bCs/>
          <w:snapToGrid w:val="0"/>
          <w:sz w:val="24"/>
          <w:szCs w:val="24"/>
        </w:rPr>
        <w:t xml:space="preserve">  </w:t>
      </w:r>
      <w:r>
        <w:rPr>
          <w:rFonts w:ascii="Times New Roman" w:hAnsi="Times New Roman"/>
          <w:snapToGrid w:val="0"/>
          <w:sz w:val="24"/>
          <w:szCs w:val="24"/>
        </w:rPr>
        <w:t xml:space="preserve">本条适用于各类民用建筑的预评价、评价。 </w:t>
      </w:r>
    </w:p>
    <w:p>
      <w:pPr>
        <w:pStyle w:val="4"/>
        <w:tabs>
          <w:tab w:val="left" w:pos="1333"/>
        </w:tabs>
        <w:snapToGrid w:val="0"/>
        <w:spacing w:before="82" w:line="360" w:lineRule="auto"/>
        <w:ind w:right="1939" w:firstLine="480" w:firstLineChars="200"/>
        <w:jc w:val="left"/>
        <w:rPr>
          <w:rFonts w:ascii="Times New Roman" w:hAnsi="Times New Roman"/>
          <w:snapToGrid w:val="0"/>
          <w:sz w:val="24"/>
          <w:szCs w:val="24"/>
        </w:rPr>
      </w:pPr>
      <w:r>
        <w:rPr>
          <w:rFonts w:ascii="Times New Roman" w:hAnsi="Times New Roman"/>
          <w:snapToGrid w:val="0"/>
          <w:sz w:val="24"/>
          <w:szCs w:val="24"/>
        </w:rPr>
        <w:t>本条为新增条文。</w:t>
      </w:r>
    </w:p>
    <w:p>
      <w:pPr>
        <w:pStyle w:val="4"/>
        <w:snapToGrid w:val="0"/>
        <w:spacing w:before="25" w:line="360" w:lineRule="auto"/>
        <w:ind w:firstLine="480" w:firstLineChars="200"/>
        <w:rPr>
          <w:rFonts w:ascii="Times New Roman" w:hAnsi="Times New Roman"/>
          <w:snapToGrid w:val="0"/>
          <w:kern w:val="0"/>
          <w:sz w:val="24"/>
          <w:szCs w:val="24"/>
        </w:rPr>
      </w:pPr>
      <w:r>
        <w:rPr>
          <w:rFonts w:ascii="Times New Roman" w:hAnsi="Times New Roman"/>
          <w:snapToGrid w:val="0"/>
          <w:kern w:val="0"/>
          <w:sz w:val="24"/>
          <w:szCs w:val="24"/>
        </w:rPr>
        <w:t>第1款，采用远传计量系统对各类用水进行计量，可准确掌握项目用水现状，如水系管网分布情况，各类用水设备、设施、仪器、仪表分布及运转状态，用水总量和各用水单元之间的定量关系，找出薄弱环节和节水潜力，制定出切实可行的节水管理措施和规划。</w:t>
      </w:r>
    </w:p>
    <w:p>
      <w:pPr>
        <w:pStyle w:val="4"/>
        <w:snapToGrid w:val="0"/>
        <w:spacing w:before="13" w:line="360" w:lineRule="auto"/>
        <w:ind w:firstLine="480" w:firstLineChars="200"/>
        <w:rPr>
          <w:rFonts w:ascii="Times New Roman" w:hAnsi="Times New Roman"/>
          <w:snapToGrid w:val="0"/>
          <w:sz w:val="24"/>
          <w:szCs w:val="24"/>
        </w:rPr>
      </w:pPr>
      <w:r>
        <w:rPr>
          <w:rFonts w:ascii="Times New Roman" w:hAnsi="Times New Roman"/>
          <w:snapToGrid w:val="0"/>
          <w:sz w:val="24"/>
          <w:szCs w:val="24"/>
        </w:rPr>
        <w:t>第2款，远传水表可以实时的将用水量数据上传给管理系统。远传水表应根据水平衡测试的要求分级安装。物业管理方应通过远传水表的数据进行管道漏损情况检测，随时了解管道漏损情况，及时查找漏损点并进行整改。</w:t>
      </w:r>
    </w:p>
    <w:p>
      <w:pPr>
        <w:pStyle w:val="4"/>
        <w:snapToGrid w:val="0"/>
        <w:spacing w:before="13" w:line="360" w:lineRule="auto"/>
        <w:ind w:firstLine="480" w:firstLineChars="200"/>
        <w:rPr>
          <w:rFonts w:ascii="Times New Roman" w:hAnsi="Times New Roman"/>
          <w:snapToGrid w:val="0"/>
          <w:sz w:val="24"/>
          <w:szCs w:val="24"/>
        </w:rPr>
      </w:pPr>
      <w:r>
        <w:rPr>
          <w:rFonts w:ascii="Times New Roman" w:hAnsi="Times New Roman"/>
          <w:snapToGrid w:val="0"/>
          <w:sz w:val="24"/>
          <w:szCs w:val="24"/>
        </w:rPr>
        <w:t>第3款，建筑中设有的各类供水系统均设置了在线监测系统，第3款方可得分。根据相应水质标准规范要求，可选择对浊度、余氯、pH值、电导率</w:t>
      </w:r>
      <w:r>
        <w:rPr>
          <w:rFonts w:hint="eastAsia" w:ascii="Times New Roman" w:hAnsi="Times New Roman"/>
          <w:snapToGrid w:val="0"/>
          <w:sz w:val="24"/>
          <w:szCs w:val="24"/>
        </w:rPr>
        <w:t>（</w:t>
      </w:r>
      <w:r>
        <w:rPr>
          <w:rFonts w:ascii="Times New Roman" w:hAnsi="Times New Roman"/>
          <w:i/>
          <w:snapToGrid w:val="0"/>
          <w:sz w:val="24"/>
          <w:szCs w:val="24"/>
        </w:rPr>
        <w:t>TDS</w:t>
      </w:r>
      <w:r>
        <w:rPr>
          <w:rFonts w:hint="eastAsia" w:ascii="Times New Roman" w:hAnsi="Times New Roman"/>
          <w:snapToGrid w:val="0"/>
          <w:sz w:val="24"/>
          <w:szCs w:val="24"/>
        </w:rPr>
        <w:t>）</w:t>
      </w:r>
      <w:r>
        <w:rPr>
          <w:rFonts w:ascii="Times New Roman" w:hAnsi="Times New Roman"/>
          <w:snapToGrid w:val="0"/>
          <w:sz w:val="24"/>
          <w:szCs w:val="24"/>
        </w:rPr>
        <w:t>等指标进行监测，例如管道直饮水可不监测浊度、余氯，对终端直饮水设备没有在线监测的要求。对建筑内各类水质实施在线监测，能够帮助物业管理部门随时掌握水质指标状况，及时发现水质异常变化并采取有效措施。水质在线监测系统应有报警记录功能，其存储介质和数据库应能记录连续一年以上的运行数据，且能随时供用户查询。水质监测的关键性位置和代表性测点包括：水源、水处理设施出水及最不利用水点。</w:t>
      </w:r>
    </w:p>
    <w:p>
      <w:pPr>
        <w:pStyle w:val="4"/>
        <w:tabs>
          <w:tab w:val="left" w:pos="5044"/>
          <w:tab w:val="left" w:pos="6340"/>
        </w:tabs>
        <w:snapToGrid w:val="0"/>
        <w:spacing w:before="6" w:line="360" w:lineRule="auto"/>
        <w:ind w:firstLine="480" w:firstLineChars="200"/>
        <w:rPr>
          <w:rFonts w:ascii="Times New Roman" w:hAnsi="Times New Roman"/>
          <w:snapToGrid w:val="0"/>
          <w:sz w:val="24"/>
          <w:szCs w:val="24"/>
        </w:rPr>
      </w:pPr>
      <w:r>
        <w:rPr>
          <w:rFonts w:ascii="Times New Roman" w:hAnsi="Times New Roman"/>
          <w:snapToGrid w:val="0"/>
          <w:sz w:val="24"/>
          <w:szCs w:val="24"/>
        </w:rPr>
        <w:t>本条的评价方法为：预评价查阅相关设计文件</w:t>
      </w:r>
      <w:r>
        <w:rPr>
          <w:rFonts w:hint="eastAsia" w:ascii="Times New Roman" w:hAnsi="Times New Roman"/>
          <w:snapToGrid w:val="0"/>
          <w:sz w:val="24"/>
          <w:szCs w:val="24"/>
        </w:rPr>
        <w:t>（</w:t>
      </w:r>
      <w:r>
        <w:rPr>
          <w:rFonts w:ascii="Times New Roman" w:hAnsi="Times New Roman"/>
          <w:snapToGrid w:val="0"/>
          <w:sz w:val="24"/>
          <w:szCs w:val="24"/>
        </w:rPr>
        <w:t>含远传计量系统设置说明、分级水表设置示意图、水质监测点位说明、设置示意图等</w:t>
      </w:r>
      <w:r>
        <w:rPr>
          <w:rFonts w:hint="eastAsia" w:ascii="Times New Roman" w:hAnsi="Times New Roman"/>
          <w:snapToGrid w:val="0"/>
          <w:sz w:val="24"/>
          <w:szCs w:val="24"/>
        </w:rPr>
        <w:t>）</w:t>
      </w:r>
      <w:r>
        <w:rPr>
          <w:rFonts w:ascii="Times New Roman" w:hAnsi="Times New Roman"/>
          <w:snapToGrid w:val="0"/>
          <w:sz w:val="24"/>
          <w:szCs w:val="24"/>
        </w:rPr>
        <w:t>；评价查阅相关竣工图</w:t>
      </w:r>
      <w:r>
        <w:rPr>
          <w:rFonts w:hint="eastAsia" w:ascii="Times New Roman" w:hAnsi="Times New Roman"/>
          <w:snapToGrid w:val="0"/>
          <w:sz w:val="24"/>
          <w:szCs w:val="24"/>
        </w:rPr>
        <w:t>（</w:t>
      </w:r>
      <w:r>
        <w:rPr>
          <w:rFonts w:ascii="Times New Roman" w:hAnsi="Times New Roman"/>
          <w:snapToGrid w:val="0"/>
          <w:sz w:val="24"/>
          <w:szCs w:val="24"/>
        </w:rPr>
        <w:t>含远传计量系统设置说明、分级水表设置示意图、水质监测点位说明、设置示意图等</w:t>
      </w:r>
      <w:r>
        <w:rPr>
          <w:rFonts w:hint="eastAsia" w:ascii="Times New Roman" w:hAnsi="Times New Roman"/>
          <w:snapToGrid w:val="0"/>
          <w:sz w:val="24"/>
          <w:szCs w:val="24"/>
        </w:rPr>
        <w:t>）</w:t>
      </w:r>
      <w:r>
        <w:rPr>
          <w:rFonts w:ascii="Times New Roman" w:hAnsi="Times New Roman"/>
          <w:snapToGrid w:val="0"/>
          <w:sz w:val="24"/>
          <w:szCs w:val="24"/>
        </w:rPr>
        <w:t>监测与发布系统设计说明，投入使用的项目尚应查阅漏损检测管理制度</w:t>
      </w:r>
      <w:r>
        <w:rPr>
          <w:rFonts w:hint="eastAsia" w:ascii="Times New Roman" w:hAnsi="Times New Roman"/>
          <w:snapToGrid w:val="0"/>
          <w:sz w:val="24"/>
          <w:szCs w:val="24"/>
        </w:rPr>
        <w:t>（</w:t>
      </w:r>
      <w:r>
        <w:rPr>
          <w:rFonts w:ascii="Times New Roman" w:hAnsi="Times New Roman"/>
          <w:snapToGrid w:val="0"/>
          <w:sz w:val="24"/>
          <w:szCs w:val="24"/>
        </w:rPr>
        <w:t>或漏损检测、分析及整改情况报告</w:t>
      </w:r>
      <w:r>
        <w:rPr>
          <w:rFonts w:hint="eastAsia" w:ascii="Times New Roman" w:hAnsi="Times New Roman"/>
          <w:snapToGrid w:val="0"/>
          <w:sz w:val="24"/>
          <w:szCs w:val="24"/>
        </w:rPr>
        <w:t>）</w:t>
      </w:r>
      <w:r>
        <w:rPr>
          <w:rFonts w:ascii="Times New Roman" w:hAnsi="Times New Roman"/>
          <w:snapToGrid w:val="0"/>
          <w:sz w:val="24"/>
          <w:szCs w:val="24"/>
        </w:rPr>
        <w:t>、人水质监测管理制度</w:t>
      </w:r>
      <w:r>
        <w:rPr>
          <w:rFonts w:hint="eastAsia" w:ascii="Times New Roman" w:hAnsi="Times New Roman"/>
          <w:snapToGrid w:val="0"/>
          <w:sz w:val="24"/>
          <w:szCs w:val="24"/>
        </w:rPr>
        <w:t>（</w:t>
      </w:r>
      <w:r>
        <w:rPr>
          <w:rFonts w:ascii="Times New Roman" w:hAnsi="Times New Roman"/>
          <w:snapToGrid w:val="0"/>
          <w:sz w:val="24"/>
          <w:szCs w:val="24"/>
        </w:rPr>
        <w:t>或水质监测记录</w:t>
      </w:r>
      <w:r>
        <w:rPr>
          <w:rFonts w:hint="eastAsia" w:ascii="Times New Roman" w:hAnsi="Times New Roman"/>
          <w:snapToGrid w:val="0"/>
          <w:sz w:val="24"/>
          <w:szCs w:val="24"/>
        </w:rPr>
        <w:t>）</w:t>
      </w:r>
      <w:r>
        <w:rPr>
          <w:rFonts w:ascii="Times New Roman" w:hAnsi="Times New Roman"/>
          <w:snapToGrid w:val="0"/>
          <w:sz w:val="24"/>
          <w:szCs w:val="24"/>
        </w:rPr>
        <w:t>。</w:t>
      </w:r>
    </w:p>
    <w:p>
      <w:pPr>
        <w:pStyle w:val="4"/>
        <w:tabs>
          <w:tab w:val="left" w:pos="1361"/>
        </w:tabs>
        <w:snapToGrid w:val="0"/>
        <w:spacing w:before="61" w:line="360" w:lineRule="auto"/>
        <w:ind w:right="1918"/>
        <w:jc w:val="left"/>
        <w:rPr>
          <w:rFonts w:ascii="Times New Roman" w:hAnsi="Times New Roman"/>
          <w:snapToGrid w:val="0"/>
          <w:sz w:val="24"/>
          <w:szCs w:val="24"/>
        </w:rPr>
      </w:pPr>
      <w:r>
        <w:rPr>
          <w:rFonts w:ascii="Times New Roman" w:hAnsi="Times New Roman"/>
          <w:b/>
          <w:bCs/>
          <w:snapToGrid w:val="0"/>
          <w:sz w:val="24"/>
          <w:szCs w:val="24"/>
        </w:rPr>
        <w:t xml:space="preserve">6.2.9 </w:t>
      </w:r>
      <w:r>
        <w:rPr>
          <w:rFonts w:hint="eastAsia" w:ascii="Times New Roman" w:hAnsi="Times New Roman"/>
          <w:b/>
          <w:bCs/>
          <w:snapToGrid w:val="0"/>
          <w:sz w:val="24"/>
          <w:szCs w:val="24"/>
        </w:rPr>
        <w:t xml:space="preserve"> </w:t>
      </w:r>
      <w:r>
        <w:rPr>
          <w:rFonts w:ascii="Times New Roman" w:hAnsi="Times New Roman"/>
          <w:snapToGrid w:val="0"/>
          <w:sz w:val="24"/>
          <w:szCs w:val="24"/>
        </w:rPr>
        <w:t xml:space="preserve">本条适用于各类民用建筑的预评价、评价 。 </w:t>
      </w:r>
    </w:p>
    <w:p>
      <w:pPr>
        <w:spacing w:line="360" w:lineRule="auto"/>
        <w:ind w:firstLine="420"/>
        <w:rPr>
          <w:sz w:val="24"/>
          <w:szCs w:val="24"/>
        </w:rPr>
      </w:pPr>
      <w:r>
        <w:rPr>
          <w:sz w:val="24"/>
          <w:szCs w:val="24"/>
        </w:rPr>
        <w:t>本条沿引国家《绿色建筑评价标准》GB/T 50378-2019，并进行了局部补充，本条为新增条文。</w:t>
      </w:r>
    </w:p>
    <w:p>
      <w:pPr>
        <w:spacing w:line="360" w:lineRule="auto"/>
        <w:ind w:firstLine="420"/>
        <w:rPr>
          <w:sz w:val="24"/>
          <w:szCs w:val="24"/>
        </w:rPr>
      </w:pPr>
      <w:r>
        <w:rPr>
          <w:sz w:val="24"/>
          <w:szCs w:val="24"/>
        </w:rPr>
        <w:t>第1款，智能化服务系统包括智能家居监控服务系统或智能环境设备监控服务系统，具体包括家电控制、照明控制、安全报警、环境监测、建筑设备控制、工作生活服务</w:t>
      </w:r>
      <w:r>
        <w:rPr>
          <w:rFonts w:hint="eastAsia"/>
          <w:sz w:val="24"/>
          <w:szCs w:val="24"/>
        </w:rPr>
        <w:t>（</w:t>
      </w:r>
      <w:r>
        <w:rPr>
          <w:sz w:val="24"/>
          <w:szCs w:val="24"/>
        </w:rPr>
        <w:t>如养老服务预约、会议预约</w:t>
      </w:r>
      <w:r>
        <w:rPr>
          <w:rFonts w:hint="eastAsia"/>
          <w:sz w:val="24"/>
          <w:szCs w:val="24"/>
        </w:rPr>
        <w:t>）</w:t>
      </w:r>
      <w:r>
        <w:rPr>
          <w:sz w:val="24"/>
          <w:szCs w:val="24"/>
        </w:rPr>
        <w:t>等系统与平台。控制方式包括电话或网络远程控制、室内外遥控、红外转发以及可编程定时控制等。</w:t>
      </w:r>
    </w:p>
    <w:p>
      <w:pPr>
        <w:spacing w:line="360" w:lineRule="auto"/>
        <w:ind w:firstLine="420"/>
        <w:rPr>
          <w:sz w:val="24"/>
          <w:szCs w:val="24"/>
        </w:rPr>
      </w:pPr>
      <w:r>
        <w:rPr>
          <w:sz w:val="24"/>
          <w:szCs w:val="24"/>
        </w:rPr>
        <w:t>智能家居监控系统或智能环境设备监控系统是以相对独立的使用空间为单元，利用综合布线技术、网络通信技术、自动控制技术、音视频技术等将家居生活或工作事务有关的设施进行集成，构建高效的建筑设施与日常事务的管理系统，提升家居和工作的安全性、便利性、舒适性、艺术性，实现更加便捷适用的生活和工作环境，提高用户对绿色建筑的感知度。</w:t>
      </w:r>
    </w:p>
    <w:p>
      <w:pPr>
        <w:spacing w:line="360" w:lineRule="auto"/>
        <w:ind w:firstLine="420"/>
        <w:rPr>
          <w:sz w:val="24"/>
          <w:szCs w:val="24"/>
        </w:rPr>
      </w:pPr>
      <w:r>
        <w:rPr>
          <w:sz w:val="24"/>
          <w:szCs w:val="24"/>
        </w:rPr>
        <w:t>第2款，智能化服务系统具备远程监控功能，使用者可通过以太网、移动数据网络等，实现对建筑室内物理环境状况、设备设施状态的监测，以及对智能家居或环境设备系统的控制、对工作生活服务平台的访问操作，从而可以有效提升服务便捷性。</w:t>
      </w:r>
    </w:p>
    <w:p>
      <w:pPr>
        <w:spacing w:line="360" w:lineRule="auto"/>
        <w:ind w:firstLine="420"/>
        <w:rPr>
          <w:rFonts w:hint="eastAsia"/>
          <w:sz w:val="24"/>
          <w:szCs w:val="24"/>
        </w:rPr>
      </w:pPr>
      <w:r>
        <w:rPr>
          <w:sz w:val="24"/>
          <w:szCs w:val="24"/>
        </w:rPr>
        <w:t>第3款，智能化服务系统如果仅由物业管理单位来管理和维护的话，其信息更新与扩充的速度和范围一般会受到局限，如果智能化服务平台能够与所在的智慧城市</w:t>
      </w:r>
      <w:r>
        <w:rPr>
          <w:rFonts w:hint="eastAsia"/>
          <w:sz w:val="24"/>
          <w:szCs w:val="24"/>
        </w:rPr>
        <w:t>（</w:t>
      </w:r>
      <w:r>
        <w:rPr>
          <w:sz w:val="24"/>
          <w:szCs w:val="24"/>
        </w:rPr>
        <w:t>城区、社区</w:t>
      </w:r>
      <w:r>
        <w:rPr>
          <w:rFonts w:hint="eastAsia"/>
          <w:sz w:val="24"/>
          <w:szCs w:val="24"/>
        </w:rPr>
        <w:t>）</w:t>
      </w:r>
      <w:r>
        <w:rPr>
          <w:sz w:val="24"/>
          <w:szCs w:val="24"/>
        </w:rPr>
        <w:t>平台对接，则可有效实现信息和数据的共享与互通，实现相关各方的互惠互利。智慧城市</w:t>
      </w:r>
      <w:r>
        <w:rPr>
          <w:rFonts w:hint="eastAsia"/>
          <w:sz w:val="24"/>
          <w:szCs w:val="24"/>
        </w:rPr>
        <w:t>（</w:t>
      </w:r>
      <w:r>
        <w:rPr>
          <w:sz w:val="24"/>
          <w:szCs w:val="24"/>
        </w:rPr>
        <w:t>城区、社区</w:t>
      </w:r>
      <w:r>
        <w:rPr>
          <w:rFonts w:hint="eastAsia"/>
          <w:sz w:val="24"/>
          <w:szCs w:val="24"/>
        </w:rPr>
        <w:t>）</w:t>
      </w:r>
      <w:r>
        <w:rPr>
          <w:sz w:val="24"/>
          <w:szCs w:val="24"/>
        </w:rPr>
        <w:t>的智能化服务系统的基本项目一般包括智慧物业管理、电子商务服务、智慧养老服务、智慧家居、智慧医院等。</w:t>
      </w:r>
    </w:p>
    <w:p>
      <w:pPr>
        <w:spacing w:line="360" w:lineRule="auto"/>
        <w:ind w:firstLine="420"/>
        <w:rPr>
          <w:sz w:val="24"/>
          <w:szCs w:val="24"/>
        </w:rPr>
      </w:pPr>
      <w:r>
        <w:rPr>
          <w:sz w:val="24"/>
          <w:szCs w:val="24"/>
        </w:rPr>
        <w:t>第</w:t>
      </w:r>
      <w:r>
        <w:rPr>
          <w:rFonts w:hint="eastAsia"/>
          <w:sz w:val="24"/>
          <w:szCs w:val="24"/>
        </w:rPr>
        <w:t>4</w:t>
      </w:r>
      <w:r>
        <w:rPr>
          <w:sz w:val="24"/>
          <w:szCs w:val="24"/>
        </w:rPr>
        <w:t>款，</w:t>
      </w:r>
      <w:r>
        <w:rPr>
          <w:rFonts w:hint="eastAsia"/>
          <w:sz w:val="24"/>
          <w:szCs w:val="24"/>
        </w:rPr>
        <w:t>创建智慧</w:t>
      </w:r>
      <w:r>
        <w:rPr>
          <w:sz w:val="24"/>
          <w:szCs w:val="24"/>
        </w:rPr>
        <w:t>城市</w:t>
      </w:r>
      <w:r>
        <w:rPr>
          <w:rFonts w:hint="eastAsia"/>
          <w:sz w:val="24"/>
          <w:szCs w:val="24"/>
        </w:rPr>
        <w:t>（</w:t>
      </w:r>
      <w:r>
        <w:rPr>
          <w:sz w:val="24"/>
          <w:szCs w:val="24"/>
        </w:rPr>
        <w:t>城区、社区</w:t>
      </w:r>
      <w:r>
        <w:rPr>
          <w:rFonts w:hint="eastAsia"/>
          <w:sz w:val="24"/>
          <w:szCs w:val="24"/>
        </w:rPr>
        <w:t>），</w:t>
      </w:r>
      <w:r>
        <w:rPr>
          <w:sz w:val="24"/>
          <w:szCs w:val="24"/>
        </w:rPr>
        <w:t>充分利用互联网、物联网、大数据、云计算等新一代信息技术的集成应用，</w:t>
      </w:r>
      <w:r>
        <w:rPr>
          <w:rFonts w:hint="eastAsia"/>
          <w:sz w:val="24"/>
          <w:szCs w:val="24"/>
        </w:rPr>
        <w:t>设置具有物业管理、停车库（场）管理、信息导引及发布系统等3种功能的智能化系统，</w:t>
      </w:r>
      <w:r>
        <w:rPr>
          <w:sz w:val="24"/>
          <w:szCs w:val="24"/>
        </w:rPr>
        <w:t>为</w:t>
      </w:r>
      <w:r>
        <w:rPr>
          <w:rFonts w:hint="eastAsia"/>
          <w:sz w:val="24"/>
          <w:szCs w:val="24"/>
        </w:rPr>
        <w:t>用户</w:t>
      </w:r>
      <w:r>
        <w:rPr>
          <w:sz w:val="24"/>
          <w:szCs w:val="24"/>
        </w:rPr>
        <w:t>提供安全、舒适、便利的现代化和智慧化的生活环境。</w:t>
      </w:r>
    </w:p>
    <w:p>
      <w:pPr>
        <w:pStyle w:val="4"/>
        <w:snapToGrid w:val="0"/>
        <w:spacing w:before="13" w:line="360" w:lineRule="auto"/>
        <w:ind w:right="232" w:firstLine="480" w:firstLineChars="200"/>
        <w:rPr>
          <w:rFonts w:hint="eastAsia" w:ascii="Times New Roman" w:hAnsi="Times New Roman"/>
          <w:snapToGrid w:val="0"/>
          <w:sz w:val="24"/>
          <w:szCs w:val="24"/>
        </w:rPr>
      </w:pPr>
      <w:r>
        <w:rPr>
          <w:rFonts w:ascii="Times New Roman" w:hAnsi="Times New Roman"/>
          <w:snapToGrid w:val="0"/>
          <w:sz w:val="24"/>
          <w:szCs w:val="24"/>
        </w:rPr>
        <w:t>本条的评价方法为：预评价查阅相关设计文件</w:t>
      </w:r>
      <w:r>
        <w:rPr>
          <w:rFonts w:hint="eastAsia" w:ascii="Times New Roman" w:hAnsi="Times New Roman"/>
          <w:snapToGrid w:val="0"/>
          <w:sz w:val="24"/>
          <w:szCs w:val="24"/>
        </w:rPr>
        <w:t>（</w:t>
      </w:r>
      <w:r>
        <w:rPr>
          <w:rFonts w:ascii="Times New Roman" w:hAnsi="Times New Roman"/>
          <w:snapToGrid w:val="0"/>
          <w:sz w:val="24"/>
          <w:szCs w:val="24"/>
        </w:rPr>
        <w:t>智能家居或环境设备监控系统设计方案、智能化服务平台方案、相关智能化设计图纸、装修图纸</w:t>
      </w:r>
      <w:r>
        <w:rPr>
          <w:rFonts w:hint="eastAsia" w:ascii="Times New Roman" w:hAnsi="Times New Roman"/>
          <w:snapToGrid w:val="0"/>
          <w:sz w:val="24"/>
          <w:szCs w:val="24"/>
        </w:rPr>
        <w:t>）</w:t>
      </w:r>
      <w:r>
        <w:rPr>
          <w:rFonts w:ascii="Times New Roman" w:hAnsi="Times New Roman"/>
          <w:snapToGrid w:val="0"/>
          <w:sz w:val="24"/>
          <w:szCs w:val="24"/>
        </w:rPr>
        <w:t>；评价查阅相关竣工图、产品型式检验报告，投入使用的项目尚应查阅管理制度、历史监测数据、运行记录。</w:t>
      </w:r>
    </w:p>
    <w:p>
      <w:pPr>
        <w:spacing w:line="360" w:lineRule="auto"/>
        <w:ind w:firstLine="560" w:firstLineChars="200"/>
        <w:jc w:val="center"/>
        <w:rPr>
          <w:rFonts w:eastAsia="仿宋"/>
          <w:sz w:val="28"/>
          <w:szCs w:val="28"/>
        </w:rPr>
      </w:pPr>
      <w:r>
        <w:rPr>
          <w:rFonts w:hint="eastAsia" w:eastAsia="仿宋"/>
          <w:sz w:val="28"/>
          <w:szCs w:val="28"/>
        </w:rPr>
        <w:t>Ⅳ物业管理</w:t>
      </w:r>
    </w:p>
    <w:p>
      <w:pPr>
        <w:spacing w:line="360" w:lineRule="auto"/>
        <w:jc w:val="left"/>
        <w:rPr>
          <w:sz w:val="24"/>
          <w:szCs w:val="24"/>
        </w:rPr>
      </w:pPr>
      <w:r>
        <w:rPr>
          <w:rFonts w:hint="eastAsia"/>
          <w:b/>
          <w:sz w:val="24"/>
          <w:szCs w:val="24"/>
        </w:rPr>
        <w:t xml:space="preserve">6.2.10  </w:t>
      </w:r>
      <w:r>
        <w:rPr>
          <w:rFonts w:hint="eastAsia"/>
          <w:sz w:val="24"/>
          <w:szCs w:val="24"/>
        </w:rPr>
        <w:t>本条适用于各类民用建筑的评价。在项目投入使用前评价，本条不得分。</w:t>
      </w:r>
    </w:p>
    <w:p>
      <w:pPr>
        <w:spacing w:line="360" w:lineRule="auto"/>
        <w:ind w:firstLine="480" w:firstLineChars="200"/>
        <w:jc w:val="left"/>
        <w:rPr>
          <w:sz w:val="24"/>
          <w:szCs w:val="24"/>
        </w:rPr>
      </w:pPr>
      <w:r>
        <w:rPr>
          <w:rFonts w:hint="eastAsia"/>
          <w:sz w:val="24"/>
          <w:szCs w:val="24"/>
        </w:rPr>
        <w:t>本条在本标准2016年版第10.2.2条、第10.2.3条基础上发展而来。</w:t>
      </w:r>
    </w:p>
    <w:p>
      <w:pPr>
        <w:spacing w:line="360" w:lineRule="auto"/>
        <w:ind w:firstLine="480" w:firstLineChars="200"/>
        <w:jc w:val="left"/>
        <w:rPr>
          <w:sz w:val="24"/>
          <w:szCs w:val="24"/>
        </w:rPr>
      </w:pPr>
      <w:r>
        <w:rPr>
          <w:rFonts w:hint="eastAsia"/>
          <w:sz w:val="24"/>
          <w:szCs w:val="24"/>
        </w:rPr>
        <w:t>第1款，本款要求建立完善的节能、节水、节材、绿化的操作管理制度、工作指南和应急预案，并放置、悬挂或张贴在各个操作现场的明显处。例如：可再生能源系统操作规程、雨废水回用系统作业标准等。节能、节水设施的运行维护技术要求高，维护的工作量大，无论是自行运维还是购买专业服务，都需要建立完善的管理制度及应急预案，并在日常运行中应做好记录，通过专业化的物理管理促使操作人员有效保证工作的质量。</w:t>
      </w:r>
    </w:p>
    <w:p>
      <w:pPr>
        <w:spacing w:line="360" w:lineRule="auto"/>
        <w:ind w:firstLine="480" w:firstLineChars="200"/>
        <w:jc w:val="left"/>
        <w:rPr>
          <w:sz w:val="24"/>
          <w:szCs w:val="24"/>
        </w:rPr>
      </w:pPr>
      <w:r>
        <w:rPr>
          <w:rFonts w:hint="eastAsia"/>
          <w:sz w:val="24"/>
          <w:szCs w:val="24"/>
        </w:rPr>
        <w:t>第2款，本款要求物业管理机构在保证建筑的使用性能要求、投诉率低于规定值的前提下，实现其经济效益与建筑用能系统的耗能状况、水资源等的使用情况直接挂钩。在运营管理中，建筑运行能耗可参考现行国家标准《民用建筑能耗标准》GB/T51161制定激励政策，建筑水耗可参考现行国家标准《民用建筑节水设计标准》GB50555制定激励政策。通过绩效考核，调动各方面的节能、节水积极性。</w:t>
      </w:r>
    </w:p>
    <w:p>
      <w:pPr>
        <w:spacing w:line="360" w:lineRule="auto"/>
        <w:ind w:firstLine="480" w:firstLineChars="200"/>
        <w:jc w:val="left"/>
        <w:rPr>
          <w:sz w:val="24"/>
          <w:szCs w:val="24"/>
        </w:rPr>
      </w:pPr>
      <w:r>
        <w:rPr>
          <w:rFonts w:hint="eastAsia"/>
          <w:sz w:val="24"/>
          <w:szCs w:val="24"/>
        </w:rPr>
        <w:t>本条的评价方法为：评价查阅相关管理制度、操作规程、应急预案、运行记录。</w:t>
      </w:r>
    </w:p>
    <w:p>
      <w:pPr>
        <w:spacing w:line="360" w:lineRule="auto"/>
        <w:jc w:val="left"/>
        <w:rPr>
          <w:sz w:val="24"/>
          <w:szCs w:val="24"/>
        </w:rPr>
      </w:pPr>
      <w:r>
        <w:rPr>
          <w:rFonts w:hint="eastAsia"/>
          <w:b/>
          <w:sz w:val="24"/>
          <w:szCs w:val="24"/>
        </w:rPr>
        <w:t xml:space="preserve">6.2.11  </w:t>
      </w:r>
      <w:r>
        <w:rPr>
          <w:rFonts w:hint="eastAsia"/>
          <w:sz w:val="24"/>
          <w:szCs w:val="24"/>
        </w:rPr>
        <w:t>本条适用于各类民用建筑的评价。在项目投入使用前评价，本条不得分。</w:t>
      </w:r>
    </w:p>
    <w:p>
      <w:pPr>
        <w:spacing w:line="360" w:lineRule="auto"/>
        <w:ind w:firstLine="480" w:firstLineChars="200"/>
        <w:jc w:val="left"/>
        <w:rPr>
          <w:sz w:val="24"/>
          <w:szCs w:val="24"/>
        </w:rPr>
      </w:pPr>
      <w:r>
        <w:rPr>
          <w:rFonts w:hint="eastAsia"/>
          <w:sz w:val="24"/>
          <w:szCs w:val="24"/>
        </w:rPr>
        <w:t>本条由本标准2016年版第6.2.1条发展而来。计算平均日用水量时，应实事求是地确定用水的使用人数、用水面积等。使用人数在项目使用初期可能不会达到设计人数，如住宅的入住率可能不会很快达到100%,因此对与用水人数相关的用水，如饮用、盟洗、冲厕、餐饮等，应根据用水人数来计算平均日用水量；对使用人数相对固定的建筑，如办公建筑等，按实际人数计算；对浴室、商场、餐厅等流动人口较大且数量无法明确的场所，可按设计人数计算。</w:t>
      </w:r>
    </w:p>
    <w:p>
      <w:pPr>
        <w:spacing w:line="360" w:lineRule="auto"/>
        <w:ind w:firstLine="480" w:firstLineChars="200"/>
        <w:jc w:val="left"/>
        <w:rPr>
          <w:sz w:val="24"/>
          <w:szCs w:val="24"/>
        </w:rPr>
      </w:pPr>
      <w:r>
        <w:rPr>
          <w:rFonts w:hint="eastAsia"/>
          <w:sz w:val="24"/>
          <w:szCs w:val="24"/>
        </w:rPr>
        <w:t>对与用水人数无关的用水，如绿化灌溉、地面冲洗、水景补水等，则根据实际水表计量情况进行考核。</w:t>
      </w:r>
    </w:p>
    <w:p>
      <w:pPr>
        <w:spacing w:line="360" w:lineRule="auto"/>
        <w:ind w:firstLine="480" w:firstLineChars="200"/>
        <w:jc w:val="left"/>
        <w:rPr>
          <w:sz w:val="24"/>
          <w:szCs w:val="24"/>
        </w:rPr>
      </w:pPr>
      <w:r>
        <w:rPr>
          <w:rFonts w:hint="eastAsia"/>
          <w:sz w:val="24"/>
          <w:szCs w:val="24"/>
        </w:rPr>
        <w:t>根据实际运行一年的水表计量数据和使用人数、用水面积等计算平均日用水量，与节水用水定额进行比较来判定。</w:t>
      </w:r>
    </w:p>
    <w:p>
      <w:pPr>
        <w:spacing w:line="360" w:lineRule="auto"/>
        <w:ind w:firstLine="480" w:firstLineChars="200"/>
        <w:jc w:val="left"/>
        <w:rPr>
          <w:sz w:val="24"/>
          <w:szCs w:val="24"/>
        </w:rPr>
      </w:pPr>
      <w:r>
        <w:rPr>
          <w:rFonts w:hint="eastAsia"/>
          <w:sz w:val="24"/>
          <w:szCs w:val="24"/>
        </w:rPr>
        <w:t>本条的平均值为现行国家标准《民用建筑节水设计标准》GB50555中上限值和下限值的算术平均值。</w:t>
      </w:r>
    </w:p>
    <w:p>
      <w:pPr>
        <w:spacing w:line="360" w:lineRule="auto"/>
        <w:ind w:firstLine="480" w:firstLineChars="200"/>
        <w:jc w:val="left"/>
        <w:rPr>
          <w:sz w:val="24"/>
          <w:szCs w:val="24"/>
        </w:rPr>
      </w:pPr>
      <w:r>
        <w:rPr>
          <w:rFonts w:hint="eastAsia"/>
          <w:sz w:val="24"/>
          <w:szCs w:val="24"/>
        </w:rPr>
        <w:t>本条的评价方法为：评价查阅实测用水量计量报告和建筑平均日用水量计算书。</w:t>
      </w:r>
    </w:p>
    <w:p>
      <w:pPr>
        <w:spacing w:line="360" w:lineRule="auto"/>
        <w:jc w:val="left"/>
        <w:rPr>
          <w:sz w:val="24"/>
          <w:szCs w:val="24"/>
        </w:rPr>
      </w:pPr>
      <w:r>
        <w:rPr>
          <w:rFonts w:hint="eastAsia"/>
          <w:b/>
          <w:sz w:val="24"/>
          <w:szCs w:val="24"/>
        </w:rPr>
        <w:t>6.2.12</w:t>
      </w:r>
      <w:r>
        <w:rPr>
          <w:rFonts w:hint="eastAsia"/>
          <w:sz w:val="24"/>
          <w:szCs w:val="24"/>
        </w:rPr>
        <w:t xml:space="preserve">  本条适用于各类民用建筑的评价。在项目投入使用前评价，本条不得分。</w:t>
      </w:r>
    </w:p>
    <w:p>
      <w:pPr>
        <w:spacing w:line="360" w:lineRule="auto"/>
        <w:ind w:firstLine="480" w:firstLineChars="200"/>
        <w:jc w:val="left"/>
        <w:rPr>
          <w:sz w:val="24"/>
          <w:szCs w:val="24"/>
        </w:rPr>
      </w:pPr>
      <w:r>
        <w:rPr>
          <w:rFonts w:hint="eastAsia"/>
          <w:sz w:val="24"/>
          <w:szCs w:val="24"/>
        </w:rPr>
        <w:t>本条在本标准2016年版第10.2.5条、10.2.7条基础上发展而来。</w:t>
      </w:r>
    </w:p>
    <w:p>
      <w:pPr>
        <w:spacing w:line="360" w:lineRule="auto"/>
        <w:ind w:firstLine="480" w:firstLineChars="200"/>
        <w:jc w:val="left"/>
        <w:rPr>
          <w:sz w:val="24"/>
          <w:szCs w:val="24"/>
        </w:rPr>
      </w:pPr>
      <w:r>
        <w:rPr>
          <w:rFonts w:hint="eastAsia"/>
          <w:sz w:val="24"/>
          <w:szCs w:val="24"/>
        </w:rPr>
        <w:t>第1款，对绿色建筑的运营效果进行评估是及时发现和解决建筑运营问题的重要手段，也是优化绿色建筑运行的重要途径。绿色建筑涉及的专业面广，所以制定绿色建筑运营效果评估技术方案和评估计划，是评估有序和全面开展的保障条件。根据评估结果，可发现绿色建筑是否达到预期运行目标，进而针对发现的运营问题制定绿色建筑优化运营方案，保持甚至提升绿色建筑运行效率和运营效果。</w:t>
      </w:r>
    </w:p>
    <w:p>
      <w:pPr>
        <w:spacing w:line="360" w:lineRule="auto"/>
        <w:ind w:firstLine="480" w:firstLineChars="200"/>
        <w:jc w:val="left"/>
        <w:rPr>
          <w:sz w:val="24"/>
          <w:szCs w:val="24"/>
        </w:rPr>
      </w:pPr>
      <w:r>
        <w:rPr>
          <w:rFonts w:hint="eastAsia"/>
          <w:sz w:val="24"/>
          <w:szCs w:val="24"/>
        </w:rPr>
        <w:t>第2款，保持建筑及其区域的公共设施设备系统、装置运行正常，做好定期巡检和维保工作，是绿色建筑长期运行管理中实现各项目标的基础。制定的管理制度、巡检规定、作业标准及相应的维保计划是保障使用者安全、健康的基本保障。定期的巡检包括：公共设施设备（管道井、绿化、路灯、外门窗等）的安全、完好程度、卫生情况等；设备间（配电室、机电系统机房、泵房）的运行参数、状态、卫生等；消防设备设施（室外消防栓、自动报警系统、灭火器）等完好程度、标识、状态等；建筑完损等级评定（结构部分的墙体，楼盖，楼地面、幕墙，装修部分的门窗，外装饰、细木装修，内墙抹灰）的安全检测、防锈防腐等，以上内容还应做好归档和记录。</w:t>
      </w:r>
    </w:p>
    <w:p>
      <w:pPr>
        <w:spacing w:line="360" w:lineRule="auto"/>
        <w:ind w:firstLine="480" w:firstLineChars="200"/>
        <w:jc w:val="left"/>
        <w:rPr>
          <w:sz w:val="24"/>
          <w:szCs w:val="24"/>
        </w:rPr>
      </w:pPr>
      <w:r>
        <w:rPr>
          <w:rFonts w:hint="eastAsia"/>
          <w:sz w:val="24"/>
          <w:szCs w:val="24"/>
        </w:rPr>
        <w:t>系统、设备、装置的检查、调适不仅限于新建建筑的试运行和竣工验收，而应是一项持续性、长期性的工作。建筑运行期间，所有与建筑运行相关的管理、运行状态，建筑构件的耐久性、安全性等会随时间、环境、使用需求调整而发生变化，因此持续到位的维护特别重要。</w:t>
      </w:r>
    </w:p>
    <w:p>
      <w:pPr>
        <w:spacing w:line="360" w:lineRule="auto"/>
        <w:ind w:firstLine="480" w:firstLineChars="200"/>
        <w:jc w:val="left"/>
        <w:rPr>
          <w:sz w:val="24"/>
          <w:szCs w:val="24"/>
        </w:rPr>
      </w:pPr>
      <w:r>
        <w:rPr>
          <w:rFonts w:hint="eastAsia"/>
          <w:sz w:val="24"/>
          <w:szCs w:val="24"/>
        </w:rPr>
        <w:t>第3款，物业管理机构有责任定期（每年）开展能源诊断。住宅类建筑能源诊断的内容主要包括：能耗现状调查、室内热环境和暖通空调系统等现状诊断。住宅类建筑能源诊断检测方法可参照现行行业标准《居住建筑节能检测标准》JGJ/T132的有关规定。公共建筑能源诊断的内容主要包括：冷水机组、热泵机组的实际性能系数、锅炉运行效率、水泵效率、水系统补水率、水系统供回水温差、冷却塔冷却性能、风机单位风量耗功率、风系统平衡度等，公共建筑能源诊断检测方法可参照现行行业标准《公共建筑节能检测标准》JGJ/T177的有关规定。</w:t>
      </w:r>
    </w:p>
    <w:p>
      <w:pPr>
        <w:spacing w:line="360" w:lineRule="auto"/>
        <w:ind w:firstLine="480" w:firstLineChars="200"/>
        <w:jc w:val="left"/>
        <w:rPr>
          <w:sz w:val="24"/>
          <w:szCs w:val="24"/>
        </w:rPr>
      </w:pPr>
      <w:r>
        <w:rPr>
          <w:rFonts w:hint="eastAsia"/>
          <w:sz w:val="24"/>
          <w:szCs w:val="24"/>
        </w:rPr>
        <w:t>第4款，水质的检测应按现行国家标准《生活饮用水标准检验方法》GB/T5750.l～GB/T5750.13、现行行业标准《城镇供水水质标准检验方法》CJ/T141等标准执行，并保证至少每季度对各类用水水质的常规指标进行1次检测。</w:t>
      </w:r>
    </w:p>
    <w:p>
      <w:pPr>
        <w:spacing w:line="360" w:lineRule="auto"/>
        <w:ind w:firstLine="480" w:firstLineChars="200"/>
        <w:jc w:val="left"/>
        <w:rPr>
          <w:sz w:val="24"/>
          <w:szCs w:val="24"/>
        </w:rPr>
      </w:pPr>
      <w:r>
        <w:rPr>
          <w:rFonts w:hint="eastAsia"/>
          <w:sz w:val="24"/>
          <w:szCs w:val="24"/>
        </w:rPr>
        <w:t>对于第3款和第4款，能源诊断和水质检测可由物业管理部门自检，或委托具有资质的第三方检测机构进行定期检测。物业管理部门应保存历年的能源和水质检测记录，并至少提供最近一年完整机电系统作业标准、各类检测器的标定记录、运行数据或第三方检测的数据等资料，不断提升设备系统的性能。</w:t>
      </w:r>
    </w:p>
    <w:p>
      <w:pPr>
        <w:spacing w:line="360" w:lineRule="auto"/>
        <w:ind w:firstLine="480" w:firstLineChars="200"/>
        <w:jc w:val="left"/>
        <w:rPr>
          <w:sz w:val="24"/>
          <w:szCs w:val="24"/>
        </w:rPr>
      </w:pPr>
      <w:r>
        <w:rPr>
          <w:rFonts w:hint="eastAsia"/>
          <w:sz w:val="24"/>
          <w:szCs w:val="24"/>
        </w:rPr>
        <w:t>本条的评价方法为：评价查阅相关管理制度、年度评估报告、历史监测数据、运行记录、检测报告、诊断报告。</w:t>
      </w:r>
    </w:p>
    <w:p>
      <w:pPr>
        <w:spacing w:line="360" w:lineRule="auto"/>
        <w:jc w:val="left"/>
        <w:rPr>
          <w:sz w:val="24"/>
          <w:szCs w:val="24"/>
        </w:rPr>
      </w:pPr>
      <w:r>
        <w:rPr>
          <w:rFonts w:hint="eastAsia"/>
          <w:b/>
          <w:sz w:val="24"/>
          <w:szCs w:val="24"/>
        </w:rPr>
        <w:t xml:space="preserve">6.2.13  </w:t>
      </w:r>
      <w:r>
        <w:rPr>
          <w:rFonts w:hint="eastAsia"/>
          <w:sz w:val="24"/>
          <w:szCs w:val="24"/>
        </w:rPr>
        <w:t>本条适用于各类民用建筑的评价。在项目投入使用前评价，本条不得分。</w:t>
      </w:r>
    </w:p>
    <w:p>
      <w:pPr>
        <w:spacing w:line="360" w:lineRule="auto"/>
        <w:ind w:firstLine="480" w:firstLineChars="200"/>
        <w:jc w:val="left"/>
        <w:rPr>
          <w:sz w:val="24"/>
          <w:szCs w:val="24"/>
        </w:rPr>
      </w:pPr>
      <w:r>
        <w:rPr>
          <w:rFonts w:hint="eastAsia"/>
          <w:sz w:val="24"/>
          <w:szCs w:val="24"/>
        </w:rPr>
        <w:t>本条在本标准2016年版第10.2.4条基础上发展而来。在建筑物长期的运行过程中，用户和物业管理人员的意识与行为，直接影响绿色建筑的目标实现，因此需要坚持倡导绿色理念与绿色生活方式的教育宣传制度，培训各类人员正确使用绿色设施，形成良好的绿色行为与风气。</w:t>
      </w:r>
    </w:p>
    <w:p>
      <w:pPr>
        <w:spacing w:line="360" w:lineRule="auto"/>
        <w:ind w:firstLine="480" w:firstLineChars="200"/>
        <w:jc w:val="left"/>
        <w:rPr>
          <w:sz w:val="24"/>
          <w:szCs w:val="24"/>
        </w:rPr>
      </w:pPr>
      <w:r>
        <w:rPr>
          <w:rFonts w:hint="eastAsia"/>
          <w:sz w:val="24"/>
          <w:szCs w:val="24"/>
        </w:rPr>
        <w:t>第1款，建立绿色教育宣传和实践活动机制，可以促进普及绿色建筑知识，让更多的人了解绿色建筑的运营理念和有关要求。尤其是通过媒体报道和公开有关数据，能营造关注绿色理念、践行绿色行为的良好氛围。</w:t>
      </w:r>
    </w:p>
    <w:p>
      <w:pPr>
        <w:spacing w:line="360" w:lineRule="auto"/>
        <w:ind w:firstLine="480" w:firstLineChars="200"/>
        <w:jc w:val="left"/>
        <w:rPr>
          <w:sz w:val="24"/>
          <w:szCs w:val="24"/>
        </w:rPr>
      </w:pPr>
      <w:r>
        <w:rPr>
          <w:rFonts w:hint="eastAsia"/>
          <w:sz w:val="24"/>
          <w:szCs w:val="24"/>
        </w:rPr>
        <w:t>第2款，鼓励形式多样的绿色生活展示、体验或交流分享的平台，包括利用实体平台和网络平台的宣传、推广和活动，如建立绿色生活的体验小站、旧物置换、步数绿色积分、绿色小天使亲子活动等。定期发放绿色设施使用手册，绿色设施使用手册是为建筑使用者及物业管理人员提供各类设备设施的功能、作用及使用说明的文件。绿色设施包括建筑设备管理系统、节能灯具、遮阳设施、可再生能源系统、非传统水源系统、节水器具、节水绿化灌溉设施、垃圾分类处理设施等。营造出使用者爱护环境、绿色家园共建的氛围。</w:t>
      </w:r>
    </w:p>
    <w:p>
      <w:pPr>
        <w:spacing w:line="360" w:lineRule="auto"/>
        <w:ind w:firstLine="480" w:firstLineChars="200"/>
        <w:jc w:val="left"/>
        <w:rPr>
          <w:sz w:val="24"/>
          <w:szCs w:val="24"/>
        </w:rPr>
      </w:pPr>
      <w:r>
        <w:rPr>
          <w:rFonts w:hint="eastAsia"/>
          <w:sz w:val="24"/>
          <w:szCs w:val="24"/>
        </w:rPr>
        <w:t>第3款，建筑应满足建筑使用者的需求，绿色建筑最终应用效果的重要判据之一是建筑使用者的评判和满意度。使用者满意度调查的内容主要针对安全耐久、健康舒适、生活便利、资源节约（侧重节能、节水）、环境宜居的绿色性能，并着重关注物业管理、秩序与安全、车辆管理、公共环境、建筑外墙维护等与建筑使用者。应根据满意度调查结果制定建筑性能提升改进措施并加以落实，尤其针对使用者不太满意的调查内容。</w:t>
      </w:r>
    </w:p>
    <w:p>
      <w:pPr>
        <w:spacing w:line="360" w:lineRule="auto"/>
        <w:ind w:firstLine="480" w:firstLineChars="200"/>
        <w:jc w:val="left"/>
        <w:rPr>
          <w:sz w:val="24"/>
          <w:szCs w:val="24"/>
        </w:rPr>
      </w:pPr>
      <w:r>
        <w:rPr>
          <w:rFonts w:hint="eastAsia"/>
          <w:sz w:val="24"/>
          <w:szCs w:val="24"/>
        </w:rPr>
        <w:t>本条的评价方法为：评价查阅相关管理制度、工作记录、活动宣传和推送材料、绿色设施使用手册、影像材料、年度调查报告及整改方案。</w:t>
      </w:r>
    </w:p>
    <w:p>
      <w:pPr>
        <w:pStyle w:val="4"/>
        <w:snapToGrid w:val="0"/>
        <w:spacing w:before="13" w:line="360" w:lineRule="auto"/>
        <w:ind w:right="232" w:firstLine="480" w:firstLineChars="200"/>
        <w:rPr>
          <w:rFonts w:ascii="Times New Roman" w:hAnsi="Times New Roman"/>
          <w:snapToGrid w:val="0"/>
          <w:sz w:val="24"/>
          <w:szCs w:val="24"/>
        </w:rPr>
        <w:sectPr>
          <w:footerReference r:id="rId6" w:type="default"/>
          <w:pgSz w:w="11910" w:h="16850"/>
          <w:pgMar w:top="1540" w:right="1420" w:bottom="1260" w:left="1320" w:header="0" w:footer="1087" w:gutter="0"/>
          <w:pgNumType w:start="32"/>
          <w:cols w:space="720" w:num="1"/>
        </w:sectPr>
      </w:pPr>
    </w:p>
    <w:p>
      <w:pPr>
        <w:spacing w:line="360" w:lineRule="auto"/>
        <w:jc w:val="center"/>
        <w:outlineLvl w:val="0"/>
        <w:rPr>
          <w:b/>
          <w:bCs/>
          <w:sz w:val="32"/>
          <w:szCs w:val="32"/>
        </w:rPr>
      </w:pPr>
      <w:r>
        <w:rPr>
          <w:rFonts w:hint="eastAsia"/>
          <w:b/>
          <w:sz w:val="32"/>
          <w:szCs w:val="32"/>
        </w:rPr>
        <w:t>7  资 源 节 约</w:t>
      </w:r>
    </w:p>
    <w:p>
      <w:pPr>
        <w:pStyle w:val="18"/>
        <w:spacing w:beforeLines="0" w:line="360" w:lineRule="auto"/>
        <w:ind w:firstLine="0" w:firstLineChars="0"/>
        <w:rPr>
          <w:rFonts w:eastAsia="黑体"/>
          <w:szCs w:val="21"/>
        </w:rPr>
      </w:pPr>
      <w:r>
        <w:rPr>
          <w:rFonts w:hint="eastAsia"/>
        </w:rPr>
        <w:t>7.1  控 制 项</w:t>
      </w:r>
    </w:p>
    <w:p>
      <w:pPr>
        <w:spacing w:line="360" w:lineRule="auto"/>
        <w:jc w:val="left"/>
        <w:rPr>
          <w:sz w:val="24"/>
          <w:szCs w:val="24"/>
        </w:rPr>
      </w:pPr>
      <w:r>
        <w:rPr>
          <w:rFonts w:hint="eastAsia"/>
          <w:b/>
          <w:sz w:val="24"/>
          <w:szCs w:val="24"/>
        </w:rPr>
        <w:t>7.1.1</w:t>
      </w:r>
      <w:r>
        <w:rPr>
          <w:rFonts w:hint="eastAsia"/>
          <w:sz w:val="24"/>
          <w:szCs w:val="24"/>
        </w:rPr>
        <w:t xml:space="preserve">  本条适用于各类民用建筑的预评价、评价。</w:t>
      </w:r>
    </w:p>
    <w:p>
      <w:pPr>
        <w:spacing w:line="360" w:lineRule="auto"/>
        <w:ind w:firstLine="480" w:firstLineChars="200"/>
        <w:jc w:val="left"/>
        <w:rPr>
          <w:sz w:val="24"/>
          <w:szCs w:val="24"/>
        </w:rPr>
      </w:pPr>
      <w:r>
        <w:rPr>
          <w:rFonts w:hint="eastAsia"/>
          <w:sz w:val="24"/>
          <w:szCs w:val="24"/>
        </w:rPr>
        <w:t>本条在本标准2016年版第5.1.1、5.2.1条的基础上发展而来。</w:t>
      </w:r>
    </w:p>
    <w:p>
      <w:pPr>
        <w:spacing w:line="360" w:lineRule="auto"/>
        <w:ind w:firstLine="480" w:firstLineChars="200"/>
        <w:jc w:val="left"/>
        <w:rPr>
          <w:sz w:val="24"/>
          <w:szCs w:val="24"/>
        </w:rPr>
      </w:pPr>
      <w:r>
        <w:rPr>
          <w:rFonts w:hint="eastAsia"/>
          <w:sz w:val="24"/>
          <w:szCs w:val="24"/>
        </w:rPr>
        <w:t>建筑设计时应强化“空间节能优先”原则的重点要求。优化体形、空间平面布局，包括合理控制建筑空调供暖的规模、区域和时间，可以实现对建筑的自然通风和天然采光的优先利用，降低供暖空调照明负荷，降低建筑能耗。</w:t>
      </w:r>
    </w:p>
    <w:p>
      <w:pPr>
        <w:spacing w:line="360" w:lineRule="auto"/>
        <w:ind w:firstLine="480" w:firstLineChars="200"/>
        <w:jc w:val="left"/>
        <w:rPr>
          <w:sz w:val="24"/>
          <w:szCs w:val="24"/>
        </w:rPr>
      </w:pPr>
      <w:r>
        <w:rPr>
          <w:rFonts w:hint="eastAsia"/>
          <w:sz w:val="24"/>
          <w:szCs w:val="24"/>
        </w:rPr>
        <w:t>因地制宜是绿色建筑设计首先要考虑的因素，不仅仅需要考虑当地气候条件，其建筑的形体、尺度还需要综合场地周边的传统文化、地方特色统筹协调，建筑物的平面布局应结合场地地形、环境等自然条件制约，并权衡各因素之间的相互关系，通过多方面分析、优化建筑的规划设计。绿色建筑设计还应在综合考虑基地容积率、限高、绿化率、交通等功能因素基础上，统筹考虑冬夏季节节能需求，优化设计体形、朝向和窗墙比。</w:t>
      </w:r>
    </w:p>
    <w:p>
      <w:pPr>
        <w:spacing w:line="360" w:lineRule="auto"/>
        <w:ind w:firstLine="480" w:firstLineChars="200"/>
        <w:jc w:val="left"/>
        <w:rPr>
          <w:sz w:val="24"/>
          <w:szCs w:val="24"/>
        </w:rPr>
      </w:pPr>
      <w:r>
        <w:rPr>
          <w:rFonts w:hint="eastAsia"/>
          <w:sz w:val="24"/>
          <w:szCs w:val="24"/>
        </w:rPr>
        <w:t>本条涉及的建筑节能标准，包括国家现行标准《公共建筑节能设计标准》GB50189、《严寒和寒冷地区居住建筑节能设计标准》JGJ26、《夏热冬冷地区居住建筑节能设计标准》JGJ134、《夏热冬暖地区居住建筑节能设计标准》JGJ75和广西现行节能设计相关标准规范等。</w:t>
      </w:r>
    </w:p>
    <w:p>
      <w:pPr>
        <w:spacing w:line="360" w:lineRule="auto"/>
        <w:ind w:firstLine="480" w:firstLineChars="200"/>
        <w:jc w:val="left"/>
        <w:rPr>
          <w:sz w:val="24"/>
          <w:szCs w:val="24"/>
        </w:rPr>
      </w:pPr>
      <w:r>
        <w:rPr>
          <w:rFonts w:hint="eastAsia"/>
          <w:sz w:val="24"/>
          <w:szCs w:val="24"/>
        </w:rPr>
        <w:t>本条的评价方法为：预评价查阅相关设计文件（总图、建筑鸟瞰图、单体效果图、人群视点透视图、平立剖图纸、设计说明等）、节能计算书、建筑日照模拟计算报告、优化设计报告；评价查阅相关竣工图、节能计算书、建筑日照模拟计算报告、优化设计报告。</w:t>
      </w:r>
    </w:p>
    <w:p>
      <w:pPr>
        <w:spacing w:line="360" w:lineRule="auto"/>
        <w:rPr>
          <w:sz w:val="24"/>
          <w:szCs w:val="24"/>
        </w:rPr>
      </w:pPr>
      <w:r>
        <w:rPr>
          <w:rFonts w:hint="eastAsia"/>
          <w:b/>
          <w:sz w:val="24"/>
          <w:szCs w:val="24"/>
        </w:rPr>
        <w:t xml:space="preserve">7.1.2  </w:t>
      </w:r>
      <w:r>
        <w:rPr>
          <w:rFonts w:hint="eastAsia"/>
          <w:sz w:val="24"/>
          <w:szCs w:val="24"/>
        </w:rPr>
        <w:t>本条适用于各类民用建筑的预评价、评价。</w:t>
      </w:r>
    </w:p>
    <w:p>
      <w:pPr>
        <w:spacing w:line="360" w:lineRule="auto"/>
        <w:ind w:firstLine="480" w:firstLineChars="200"/>
        <w:jc w:val="left"/>
        <w:rPr>
          <w:rFonts w:hint="eastAsia"/>
          <w:sz w:val="24"/>
          <w:szCs w:val="24"/>
        </w:rPr>
      </w:pPr>
      <w:r>
        <w:rPr>
          <w:rFonts w:hint="eastAsia"/>
          <w:sz w:val="24"/>
          <w:szCs w:val="24"/>
        </w:rPr>
        <w:t>本条在本标准 2016年版第 5. 2. 8 条的基础上发展而来。对没有供暖需求的建筑，仅考虑空调分区。对于采用分体式以及多联式空调的，可认定为满足空调供冷分区要求。</w:t>
      </w:r>
    </w:p>
    <w:p>
      <w:pPr>
        <w:spacing w:line="360" w:lineRule="auto"/>
        <w:ind w:firstLine="480" w:firstLineChars="200"/>
        <w:jc w:val="left"/>
        <w:rPr>
          <w:rFonts w:hint="eastAsia"/>
          <w:sz w:val="24"/>
          <w:szCs w:val="24"/>
        </w:rPr>
      </w:pPr>
      <w:r>
        <w:rPr>
          <w:rFonts w:hint="eastAsia"/>
          <w:sz w:val="24"/>
          <w:szCs w:val="24"/>
        </w:rPr>
        <w:t>不同朝向、不同的使用时间、不同功能需求（人员设备负荷，室内温湿度要求）的区域应考虑供暖空调的分区，否则既增加后期运行调控的难度，也带来了能源的浪费。因此，本条文要求设计应区分房间的朝向，细分供暖、空调区域，应对系统进行分区控制。</w:t>
      </w:r>
    </w:p>
    <w:p>
      <w:pPr>
        <w:spacing w:line="360" w:lineRule="auto"/>
        <w:ind w:firstLine="480" w:firstLineChars="200"/>
        <w:jc w:val="left"/>
        <w:rPr>
          <w:rFonts w:hint="eastAsia"/>
          <w:sz w:val="24"/>
          <w:szCs w:val="24"/>
        </w:rPr>
      </w:pPr>
      <w:r>
        <w:rPr>
          <w:rFonts w:hint="eastAsia"/>
          <w:sz w:val="24"/>
          <w:szCs w:val="24"/>
        </w:rPr>
        <w:t>空调系统一般按照最不利情况（满负荷）进行系统设计和设备选型，而建筑在绝大部分时间内是处千部分负荷状况的，或者同一时间仅有一部分空间处于使用状态。现行国家标准《公共建筑节能设计标准》 GB 50189 已经对空调冷源的部分负荷性能(IPLV) 提出了要求，本条文参照执行。</w:t>
      </w:r>
    </w:p>
    <w:p>
      <w:pPr>
        <w:spacing w:line="360" w:lineRule="auto"/>
        <w:ind w:firstLine="480" w:firstLineChars="200"/>
        <w:jc w:val="left"/>
        <w:rPr>
          <w:rFonts w:hint="eastAsia"/>
          <w:sz w:val="24"/>
          <w:szCs w:val="24"/>
        </w:rPr>
      </w:pPr>
      <w:r>
        <w:rPr>
          <w:rFonts w:hint="eastAsia"/>
          <w:sz w:val="24"/>
          <w:szCs w:val="24"/>
        </w:rPr>
        <w:t>最终决定空调系统耗电量的是包含空调冷热源、输送系统和空调末端设备在内整个空调系统，整体更优才能达到节能的最终目的。规定空调系统电冷源综合制冷性能系数 (SCOP) 这个参数，保证空调冷源部分的节能设计整体更优。现行国家标准《公共建筑节能设计标准》 GB 50189 中对空调系统的电冷源综合制冷性能系数 (SCOP) 已提出了要求，本条文参照执行。</w:t>
      </w:r>
    </w:p>
    <w:p>
      <w:pPr>
        <w:spacing w:line="360" w:lineRule="auto"/>
        <w:ind w:firstLine="480" w:firstLineChars="200"/>
        <w:jc w:val="left"/>
        <w:rPr>
          <w:rFonts w:hint="eastAsia"/>
          <w:sz w:val="24"/>
          <w:szCs w:val="24"/>
        </w:rPr>
      </w:pPr>
      <w:r>
        <w:rPr>
          <w:rFonts w:hint="eastAsia"/>
          <w:sz w:val="24"/>
          <w:szCs w:val="24"/>
        </w:rPr>
        <w:t>本条的评价方法为：预评价查阅相关设计文件（暖通专业施工图纸及设计说明，要求有控制策略、部分负荷性能系数(IPLV) 计算说明、电冷源综合制冷性能系数 (SCOP) 计算说明）；评价查阅相关竣工图、冷源机组设备说明。</w:t>
      </w:r>
    </w:p>
    <w:p>
      <w:pPr>
        <w:spacing w:line="360" w:lineRule="auto"/>
        <w:rPr>
          <w:rFonts w:hint="eastAsia"/>
          <w:sz w:val="24"/>
          <w:szCs w:val="24"/>
        </w:rPr>
      </w:pPr>
      <w:r>
        <w:rPr>
          <w:rFonts w:hint="eastAsia"/>
          <w:b/>
          <w:sz w:val="24"/>
          <w:szCs w:val="24"/>
        </w:rPr>
        <w:t xml:space="preserve">7.1.3  </w:t>
      </w:r>
      <w:r>
        <w:rPr>
          <w:rFonts w:hint="eastAsia"/>
          <w:sz w:val="24"/>
          <w:szCs w:val="24"/>
        </w:rPr>
        <w:t>本条适用于各类民用建筑的预评价、评价。</w:t>
      </w:r>
    </w:p>
    <w:p>
      <w:pPr>
        <w:spacing w:line="360" w:lineRule="auto"/>
        <w:ind w:firstLine="480" w:firstLineChars="200"/>
        <w:jc w:val="left"/>
        <w:rPr>
          <w:rFonts w:hint="eastAsia"/>
          <w:sz w:val="24"/>
          <w:szCs w:val="24"/>
        </w:rPr>
      </w:pPr>
      <w:r>
        <w:rPr>
          <w:rFonts w:hint="eastAsia"/>
          <w:sz w:val="24"/>
          <w:szCs w:val="24"/>
        </w:rPr>
        <w:t>本条为新增条文。避免空调供暖空间全覆盖，或者简单降低夏季空调和提升冬季供暖温度的做法不利于节能。为此本条要求建筑应结合不同的行为特点和功能要求合理区分设定室内温度标准。在保证使用舒适度的前提下，合理设置少用能、不用能空间，减少用能时间、缩小用能空间，通过建筑空间设计达到节能效果。室内过渡空间是指门厅、中庭、高大空间中超出人员活动范围的空间，由于其较少或没有人员停留，可适当降低温度标准，以达到降低供暖空调用能的目的。“小空间保证、大空间过渡”是指在设计高大空间建筑时，将人员停留区域控制在小空间范围内，大空间部分按照过渡空间设计。</w:t>
      </w:r>
    </w:p>
    <w:p>
      <w:pPr>
        <w:spacing w:line="360" w:lineRule="auto"/>
        <w:ind w:firstLine="480" w:firstLineChars="200"/>
        <w:jc w:val="left"/>
        <w:rPr>
          <w:rFonts w:hint="eastAsia"/>
          <w:sz w:val="24"/>
          <w:szCs w:val="24"/>
        </w:rPr>
      </w:pPr>
      <w:r>
        <w:rPr>
          <w:rFonts w:hint="eastAsia"/>
          <w:sz w:val="24"/>
          <w:szCs w:val="24"/>
        </w:rPr>
        <w:t>本条的评价方法为：预评价查阅相关设计文件；评价查阅相关竣工图、计算书。</w:t>
      </w:r>
    </w:p>
    <w:p>
      <w:pPr>
        <w:spacing w:line="360" w:lineRule="auto"/>
        <w:rPr>
          <w:sz w:val="24"/>
          <w:szCs w:val="24"/>
        </w:rPr>
      </w:pPr>
      <w:r>
        <w:rPr>
          <w:rFonts w:hint="eastAsia"/>
          <w:b/>
          <w:sz w:val="24"/>
          <w:szCs w:val="24"/>
        </w:rPr>
        <w:t xml:space="preserve">7.1.4  </w:t>
      </w:r>
      <w:r>
        <w:rPr>
          <w:sz w:val="24"/>
          <w:szCs w:val="24"/>
        </w:rPr>
        <w:t>本条适用于各类民用建筑的预评价、评价。</w:t>
      </w:r>
    </w:p>
    <w:p>
      <w:pPr>
        <w:spacing w:line="360" w:lineRule="auto"/>
        <w:ind w:firstLine="480" w:firstLineChars="200"/>
        <w:jc w:val="left"/>
        <w:rPr>
          <w:sz w:val="24"/>
          <w:szCs w:val="24"/>
        </w:rPr>
      </w:pPr>
      <w:r>
        <w:rPr>
          <w:sz w:val="24"/>
          <w:szCs w:val="24"/>
        </w:rPr>
        <w:t>本条在本标准201</w:t>
      </w:r>
      <w:r>
        <w:rPr>
          <w:rFonts w:hint="eastAsia"/>
          <w:sz w:val="24"/>
          <w:szCs w:val="24"/>
        </w:rPr>
        <w:t>6</w:t>
      </w:r>
      <w:r>
        <w:rPr>
          <w:sz w:val="24"/>
          <w:szCs w:val="24"/>
        </w:rPr>
        <w:t>年版第5.1.4条、第5.2.9条和第5.2.10条基础上发展而来。现行国家标准《建筑照明设计标准》GB 50034 规定了各类房间或场所的照明功率密度值，分为</w:t>
      </w:r>
      <w:r>
        <w:rPr>
          <w:rFonts w:hint="eastAsia"/>
          <w:sz w:val="24"/>
          <w:szCs w:val="24"/>
        </w:rPr>
        <w:t>“</w:t>
      </w:r>
      <w:r>
        <w:rPr>
          <w:sz w:val="24"/>
          <w:szCs w:val="24"/>
        </w:rPr>
        <w:t>现行值</w:t>
      </w:r>
      <w:r>
        <w:rPr>
          <w:rFonts w:hint="eastAsia"/>
          <w:sz w:val="24"/>
          <w:szCs w:val="24"/>
        </w:rPr>
        <w:t>”</w:t>
      </w:r>
      <w:r>
        <w:rPr>
          <w:sz w:val="24"/>
          <w:szCs w:val="24"/>
        </w:rPr>
        <w:t>和</w:t>
      </w:r>
      <w:r>
        <w:rPr>
          <w:rFonts w:hint="eastAsia"/>
          <w:sz w:val="24"/>
          <w:szCs w:val="24"/>
        </w:rPr>
        <w:t>“</w:t>
      </w:r>
      <w:r>
        <w:rPr>
          <w:sz w:val="24"/>
          <w:szCs w:val="24"/>
        </w:rPr>
        <w:t>目标值</w:t>
      </w:r>
      <w:r>
        <w:rPr>
          <w:rFonts w:hint="eastAsia"/>
          <w:sz w:val="24"/>
          <w:szCs w:val="24"/>
        </w:rPr>
        <w:t>”</w:t>
      </w:r>
      <w:r>
        <w:rPr>
          <w:sz w:val="24"/>
          <w:szCs w:val="24"/>
        </w:rPr>
        <w:t>，其中</w:t>
      </w:r>
      <w:r>
        <w:rPr>
          <w:rFonts w:hint="eastAsia"/>
          <w:sz w:val="24"/>
          <w:szCs w:val="24"/>
        </w:rPr>
        <w:t>“</w:t>
      </w:r>
      <w:r>
        <w:rPr>
          <w:sz w:val="24"/>
          <w:szCs w:val="24"/>
        </w:rPr>
        <w:t>现行值</w:t>
      </w:r>
      <w:r>
        <w:rPr>
          <w:rFonts w:hint="eastAsia"/>
          <w:sz w:val="24"/>
          <w:szCs w:val="24"/>
        </w:rPr>
        <w:t>”</w:t>
      </w:r>
      <w:r>
        <w:rPr>
          <w:sz w:val="24"/>
          <w:szCs w:val="24"/>
        </w:rPr>
        <w:t>是新建建筑必须满足的最低要求，</w:t>
      </w:r>
      <w:r>
        <w:rPr>
          <w:rFonts w:hint="eastAsia"/>
          <w:sz w:val="24"/>
          <w:szCs w:val="24"/>
        </w:rPr>
        <w:t>“</w:t>
      </w:r>
      <w:r>
        <w:rPr>
          <w:sz w:val="24"/>
          <w:szCs w:val="24"/>
        </w:rPr>
        <w:t>目标值</w:t>
      </w:r>
      <w:r>
        <w:rPr>
          <w:rFonts w:hint="eastAsia"/>
          <w:sz w:val="24"/>
          <w:szCs w:val="24"/>
        </w:rPr>
        <w:t>”</w:t>
      </w:r>
      <w:r>
        <w:rPr>
          <w:sz w:val="24"/>
          <w:szCs w:val="24"/>
        </w:rPr>
        <w:t>要求更高。</w:t>
      </w:r>
    </w:p>
    <w:p>
      <w:pPr>
        <w:spacing w:line="360" w:lineRule="auto"/>
        <w:ind w:firstLine="480" w:firstLineChars="200"/>
        <w:jc w:val="left"/>
        <w:rPr>
          <w:sz w:val="24"/>
          <w:szCs w:val="24"/>
        </w:rPr>
      </w:pPr>
      <w:r>
        <w:rPr>
          <w:sz w:val="24"/>
          <w:szCs w:val="24"/>
        </w:rPr>
        <w:t>在建筑的实际运行过程中，照明系统的分区控制、定时控制、自动感应开关、照度调节等措施对降低照明能耗作用很明显。照明系统分区需满足自然光利用、功能和作息差异的要求。功能差异如办公区、走廊、楼梯间、车库等的分区：作息差异一般指日常工作时间、值班时间等的不同。对于公共区域(包括走廊、楼梯间、大堂、门厅、地下停车场等场所)可采取分区、定时、感应等节能控制措施。如楼梯间采取声、光控或人体感应控制；走廊、地下车库可采用定时或其他的集中控制方式。</w:t>
      </w:r>
    </w:p>
    <w:p>
      <w:pPr>
        <w:spacing w:line="360" w:lineRule="auto"/>
        <w:ind w:firstLine="480" w:firstLineChars="200"/>
        <w:jc w:val="left"/>
        <w:rPr>
          <w:sz w:val="24"/>
          <w:szCs w:val="24"/>
        </w:rPr>
      </w:pPr>
      <w:r>
        <w:rPr>
          <w:sz w:val="24"/>
          <w:szCs w:val="24"/>
        </w:rPr>
        <w:t>采光区域的人工照明控制独立于其他区域的照明控制，有利于单独控制采光区的人工照明，实现照明节能。</w:t>
      </w:r>
    </w:p>
    <w:p>
      <w:pPr>
        <w:spacing w:line="360" w:lineRule="auto"/>
        <w:ind w:firstLine="480" w:firstLineChars="200"/>
        <w:jc w:val="left"/>
        <w:rPr>
          <w:sz w:val="24"/>
          <w:szCs w:val="24"/>
        </w:rPr>
      </w:pPr>
      <w:r>
        <w:rPr>
          <w:sz w:val="24"/>
          <w:szCs w:val="24"/>
        </w:rPr>
        <w:t>本条的评价方法为：预评价查阅相关设计文件</w:t>
      </w:r>
      <w:r>
        <w:rPr>
          <w:rFonts w:hint="eastAsia"/>
          <w:sz w:val="24"/>
          <w:szCs w:val="24"/>
        </w:rPr>
        <w:t>（</w:t>
      </w:r>
      <w:r>
        <w:rPr>
          <w:sz w:val="24"/>
          <w:szCs w:val="24"/>
        </w:rPr>
        <w:t>包含电气照明系统图、电气照明平面施工图</w:t>
      </w:r>
      <w:r>
        <w:rPr>
          <w:rFonts w:hint="eastAsia"/>
          <w:sz w:val="24"/>
          <w:szCs w:val="24"/>
        </w:rPr>
        <w:t>）</w:t>
      </w:r>
      <w:r>
        <w:rPr>
          <w:sz w:val="24"/>
          <w:szCs w:val="24"/>
        </w:rPr>
        <w:t>、设计说明</w:t>
      </w:r>
      <w:r>
        <w:rPr>
          <w:rFonts w:hint="eastAsia"/>
          <w:sz w:val="24"/>
          <w:szCs w:val="24"/>
        </w:rPr>
        <w:t>（</w:t>
      </w:r>
      <w:r>
        <w:rPr>
          <w:sz w:val="24"/>
          <w:szCs w:val="24"/>
        </w:rPr>
        <w:t>需包含照明设计要求、照明设计标准、照明控制措施等</w:t>
      </w:r>
      <w:r>
        <w:rPr>
          <w:rFonts w:hint="eastAsia"/>
          <w:sz w:val="24"/>
          <w:szCs w:val="24"/>
        </w:rPr>
        <w:t>）</w:t>
      </w:r>
      <w:r>
        <w:rPr>
          <w:sz w:val="24"/>
          <w:szCs w:val="24"/>
        </w:rPr>
        <w:t>、建筑照明功率密度计算分析报告；评价查阅相关竣工图、设计说明</w:t>
      </w:r>
      <w:r>
        <w:rPr>
          <w:rFonts w:hint="eastAsia"/>
          <w:sz w:val="24"/>
          <w:szCs w:val="24"/>
        </w:rPr>
        <w:t>（</w:t>
      </w:r>
      <w:r>
        <w:rPr>
          <w:sz w:val="24"/>
          <w:szCs w:val="24"/>
        </w:rPr>
        <w:t>需包含照明设计要求、照明设计标准、照明控制措施等</w:t>
      </w:r>
      <w:r>
        <w:rPr>
          <w:rFonts w:hint="eastAsia"/>
          <w:sz w:val="24"/>
          <w:szCs w:val="24"/>
        </w:rPr>
        <w:t>）</w:t>
      </w:r>
      <w:r>
        <w:rPr>
          <w:sz w:val="24"/>
          <w:szCs w:val="24"/>
        </w:rPr>
        <w:t>、建筑照明功率密度检测报告。</w:t>
      </w:r>
    </w:p>
    <w:p>
      <w:pPr>
        <w:spacing w:line="360" w:lineRule="auto"/>
        <w:rPr>
          <w:sz w:val="24"/>
          <w:szCs w:val="24"/>
        </w:rPr>
      </w:pPr>
      <w:r>
        <w:rPr>
          <w:rFonts w:hint="eastAsia"/>
          <w:b/>
          <w:sz w:val="24"/>
          <w:szCs w:val="24"/>
        </w:rPr>
        <w:t xml:space="preserve">7.1.5  </w:t>
      </w:r>
      <w:r>
        <w:rPr>
          <w:sz w:val="24"/>
          <w:szCs w:val="24"/>
        </w:rPr>
        <w:t>本条适用于各类建筑的预评价、评价。</w:t>
      </w:r>
    </w:p>
    <w:p>
      <w:pPr>
        <w:spacing w:line="360" w:lineRule="auto"/>
        <w:ind w:firstLine="480" w:firstLineChars="200"/>
        <w:jc w:val="left"/>
        <w:rPr>
          <w:sz w:val="24"/>
          <w:szCs w:val="24"/>
        </w:rPr>
      </w:pPr>
      <w:r>
        <w:rPr>
          <w:sz w:val="24"/>
          <w:szCs w:val="24"/>
        </w:rPr>
        <w:t>本条在本标准201</w:t>
      </w:r>
      <w:r>
        <w:rPr>
          <w:rFonts w:hint="eastAsia"/>
          <w:sz w:val="24"/>
          <w:szCs w:val="24"/>
        </w:rPr>
        <w:t>6</w:t>
      </w:r>
      <w:r>
        <w:rPr>
          <w:sz w:val="24"/>
          <w:szCs w:val="24"/>
        </w:rPr>
        <w:t>年版第5.1.3条基础上发展而来。建筑能源消耗情况较为复杂，主要包括空调系统、照明系统、其他动力系统等。设置分项或分功能计量系统，有助于统计各类设备系统的能耗分布，发现能耗不合理之处。</w:t>
      </w:r>
    </w:p>
    <w:p>
      <w:pPr>
        <w:spacing w:line="360" w:lineRule="auto"/>
        <w:ind w:firstLine="480" w:firstLineChars="200"/>
        <w:jc w:val="left"/>
        <w:rPr>
          <w:sz w:val="24"/>
          <w:szCs w:val="24"/>
        </w:rPr>
      </w:pPr>
      <w:r>
        <w:rPr>
          <w:sz w:val="24"/>
          <w:szCs w:val="24"/>
        </w:rPr>
        <w:t>对于公共建筑，要求采用集中冷热源的公共建筑，在系统设计</w:t>
      </w:r>
      <w:r>
        <w:rPr>
          <w:rFonts w:hint="eastAsia"/>
          <w:sz w:val="24"/>
          <w:szCs w:val="24"/>
        </w:rPr>
        <w:t>（</w:t>
      </w:r>
      <w:r>
        <w:rPr>
          <w:sz w:val="24"/>
          <w:szCs w:val="24"/>
        </w:rPr>
        <w:t>或既有建筑改造设计</w:t>
      </w:r>
      <w:r>
        <w:rPr>
          <w:rFonts w:hint="eastAsia"/>
          <w:sz w:val="24"/>
          <w:szCs w:val="24"/>
        </w:rPr>
        <w:t>）</w:t>
      </w:r>
      <w:r>
        <w:rPr>
          <w:sz w:val="24"/>
          <w:szCs w:val="24"/>
        </w:rPr>
        <w:t>时必须考虑使建筑内各能耗环节如冷热源、输配系统、照明、热水能耗等都能实现独立分项计量；对非集中冷热源的公共建筑，在系统设计</w:t>
      </w:r>
      <w:r>
        <w:rPr>
          <w:rFonts w:hint="eastAsia"/>
          <w:sz w:val="24"/>
          <w:szCs w:val="24"/>
        </w:rPr>
        <w:t>（</w:t>
      </w:r>
      <w:r>
        <w:rPr>
          <w:sz w:val="24"/>
          <w:szCs w:val="24"/>
        </w:rPr>
        <w:t>或既有建筑改造设计</w:t>
      </w:r>
      <w:r>
        <w:rPr>
          <w:rFonts w:hint="eastAsia"/>
          <w:sz w:val="24"/>
          <w:szCs w:val="24"/>
        </w:rPr>
        <w:t>）</w:t>
      </w:r>
      <w:r>
        <w:rPr>
          <w:sz w:val="24"/>
          <w:szCs w:val="24"/>
        </w:rPr>
        <w:t>时必须考虑使建筑内根据面积或功能等实现分项计量。这有助于分析建筑各项能耗水平和能耗结构是否合理，发现问题并提出改进措施，从而有效地实施建筑节能。</w:t>
      </w:r>
    </w:p>
    <w:p>
      <w:pPr>
        <w:spacing w:line="360" w:lineRule="auto"/>
        <w:ind w:firstLine="480" w:firstLineChars="200"/>
        <w:jc w:val="left"/>
        <w:rPr>
          <w:sz w:val="24"/>
          <w:szCs w:val="24"/>
        </w:rPr>
      </w:pPr>
      <w:r>
        <w:rPr>
          <w:sz w:val="24"/>
          <w:szCs w:val="24"/>
        </w:rPr>
        <w:t>对于住宅建筑，不要求户内各路用电的单独分项计量，但应实现分户计量。</w:t>
      </w:r>
    </w:p>
    <w:p>
      <w:pPr>
        <w:spacing w:line="360" w:lineRule="auto"/>
        <w:ind w:firstLine="480" w:firstLineChars="200"/>
        <w:jc w:val="left"/>
        <w:rPr>
          <w:sz w:val="24"/>
          <w:szCs w:val="24"/>
        </w:rPr>
      </w:pPr>
      <w:r>
        <w:rPr>
          <w:sz w:val="24"/>
          <w:szCs w:val="24"/>
        </w:rPr>
        <w:t>本条的评价方法为：预评价查阅相关设计文件；评价查阅相关竣工图、分项计量记录。</w:t>
      </w:r>
    </w:p>
    <w:p>
      <w:pPr>
        <w:spacing w:line="360" w:lineRule="auto"/>
        <w:rPr>
          <w:sz w:val="24"/>
          <w:szCs w:val="24"/>
        </w:rPr>
      </w:pPr>
      <w:r>
        <w:rPr>
          <w:rFonts w:hint="eastAsia"/>
          <w:b/>
          <w:sz w:val="24"/>
          <w:szCs w:val="24"/>
        </w:rPr>
        <w:t xml:space="preserve">7.1.6  </w:t>
      </w:r>
      <w:r>
        <w:rPr>
          <w:sz w:val="24"/>
          <w:szCs w:val="24"/>
        </w:rPr>
        <w:t>本条适用于各类民用建筑的预评价、评价。无电梯和扶梯的建筑，本条不参评。</w:t>
      </w:r>
    </w:p>
    <w:p>
      <w:pPr>
        <w:spacing w:line="360" w:lineRule="auto"/>
        <w:ind w:firstLine="480" w:firstLineChars="200"/>
        <w:jc w:val="left"/>
        <w:rPr>
          <w:sz w:val="24"/>
          <w:szCs w:val="24"/>
        </w:rPr>
      </w:pPr>
      <w:r>
        <w:rPr>
          <w:sz w:val="24"/>
          <w:szCs w:val="24"/>
        </w:rPr>
        <w:t>本条在</w:t>
      </w:r>
      <w:r>
        <w:rPr>
          <w:rFonts w:hint="eastAsia"/>
          <w:sz w:val="24"/>
          <w:szCs w:val="24"/>
        </w:rPr>
        <w:t>本</w:t>
      </w:r>
      <w:r>
        <w:rPr>
          <w:sz w:val="24"/>
          <w:szCs w:val="24"/>
        </w:rPr>
        <w:t>标准201</w:t>
      </w:r>
      <w:r>
        <w:rPr>
          <w:rFonts w:hint="eastAsia"/>
          <w:sz w:val="24"/>
          <w:szCs w:val="24"/>
        </w:rPr>
        <w:t>6</w:t>
      </w:r>
      <w:r>
        <w:rPr>
          <w:sz w:val="24"/>
          <w:szCs w:val="24"/>
        </w:rPr>
        <w:t>年版第5.2.11条的基础上发展而来。</w:t>
      </w:r>
    </w:p>
    <w:p>
      <w:pPr>
        <w:spacing w:line="360" w:lineRule="auto"/>
        <w:ind w:firstLine="480" w:firstLineChars="200"/>
        <w:jc w:val="left"/>
        <w:rPr>
          <w:sz w:val="24"/>
          <w:szCs w:val="24"/>
        </w:rPr>
      </w:pPr>
      <w:r>
        <w:rPr>
          <w:sz w:val="24"/>
          <w:szCs w:val="24"/>
        </w:rPr>
        <w:t>本条是对电梯系统的节能控制措施的要求。对垂直电梯，应具有群控、变频调速拖动、能量再生回馈等至少一项技术，实现电梯节能。对于扶梯，应采用变频感应启动技术来降低使用能耗。</w:t>
      </w:r>
    </w:p>
    <w:p>
      <w:pPr>
        <w:spacing w:line="360" w:lineRule="auto"/>
        <w:ind w:firstLine="480" w:firstLineChars="200"/>
        <w:jc w:val="left"/>
        <w:rPr>
          <w:rFonts w:hint="eastAsia"/>
          <w:sz w:val="24"/>
          <w:szCs w:val="24"/>
        </w:rPr>
      </w:pPr>
      <w:r>
        <w:rPr>
          <w:sz w:val="24"/>
          <w:szCs w:val="24"/>
        </w:rPr>
        <w:t>本条的评价方法为：预评价查阅相关设计文件、电梯与自动扶梯人流平衡计算分析报告；评价查阅相关竣工图、相关产品型式检验报告。</w:t>
      </w:r>
    </w:p>
    <w:p>
      <w:pPr>
        <w:spacing w:line="360" w:lineRule="auto"/>
        <w:rPr>
          <w:sz w:val="24"/>
          <w:szCs w:val="24"/>
        </w:rPr>
      </w:pPr>
      <w:r>
        <w:rPr>
          <w:rFonts w:hint="eastAsia"/>
          <w:b/>
          <w:sz w:val="24"/>
          <w:szCs w:val="24"/>
        </w:rPr>
        <w:t>7.1.7</w:t>
      </w:r>
      <w:r>
        <w:rPr>
          <w:rFonts w:hint="eastAsia"/>
          <w:sz w:val="24"/>
          <w:szCs w:val="24"/>
        </w:rPr>
        <w:t>本条适用于各类民用建筑的预评价、评价。</w:t>
      </w:r>
      <w:r>
        <w:rPr>
          <w:sz w:val="24"/>
          <w:szCs w:val="24"/>
        </w:rPr>
        <w:t xml:space="preserve"> </w:t>
      </w:r>
    </w:p>
    <w:p>
      <w:pPr>
        <w:spacing w:line="360" w:lineRule="auto"/>
        <w:ind w:firstLine="480" w:firstLineChars="200"/>
        <w:jc w:val="left"/>
        <w:rPr>
          <w:sz w:val="24"/>
          <w:szCs w:val="24"/>
        </w:rPr>
      </w:pPr>
      <w:r>
        <w:rPr>
          <w:sz w:val="24"/>
          <w:szCs w:val="24"/>
        </w:rPr>
        <w:t>本条在本标准 201</w:t>
      </w:r>
      <w:r>
        <w:rPr>
          <w:rFonts w:hint="eastAsia"/>
          <w:sz w:val="24"/>
          <w:szCs w:val="24"/>
        </w:rPr>
        <w:t>6</w:t>
      </w:r>
      <w:r>
        <w:rPr>
          <w:sz w:val="24"/>
          <w:szCs w:val="24"/>
        </w:rPr>
        <w:t>年版第 6. 1.</w:t>
      </w:r>
      <w:r>
        <w:rPr>
          <w:rFonts w:hint="eastAsia"/>
          <w:sz w:val="24"/>
          <w:szCs w:val="24"/>
        </w:rPr>
        <w:t>1</w:t>
      </w:r>
      <w:r>
        <w:rPr>
          <w:sz w:val="24"/>
          <w:szCs w:val="24"/>
        </w:rPr>
        <w:t xml:space="preserve"> 条、第 6. 1.</w:t>
      </w:r>
      <w:r>
        <w:rPr>
          <w:rFonts w:hint="eastAsia"/>
          <w:sz w:val="24"/>
          <w:szCs w:val="24"/>
        </w:rPr>
        <w:t>3</w:t>
      </w:r>
      <w:r>
        <w:rPr>
          <w:sz w:val="24"/>
          <w:szCs w:val="24"/>
        </w:rPr>
        <w:t xml:space="preserve"> 条、第 6.2.3 条和第 6.2.4 条基础上发展而来。 </w:t>
      </w:r>
    </w:p>
    <w:p>
      <w:pPr>
        <w:spacing w:line="360" w:lineRule="auto"/>
        <w:ind w:firstLine="480" w:firstLineChars="200"/>
        <w:jc w:val="left"/>
        <w:rPr>
          <w:sz w:val="24"/>
          <w:szCs w:val="24"/>
        </w:rPr>
      </w:pPr>
      <w:r>
        <w:rPr>
          <w:sz w:val="24"/>
          <w:szCs w:val="24"/>
        </w:rPr>
        <w:t xml:space="preserve">在进行绿色建筑设计前，应充分了解项目所在区域的市政给 排水条件、水资源状况、气候特点等实际情况，通过全面的分析研究，制定水资源利用方案，提高水资源循环利用率，减少市政供水量和污水排放量。 </w:t>
      </w:r>
    </w:p>
    <w:p>
      <w:pPr>
        <w:spacing w:line="360" w:lineRule="auto"/>
        <w:ind w:firstLine="480" w:firstLineChars="200"/>
        <w:jc w:val="left"/>
        <w:rPr>
          <w:sz w:val="24"/>
          <w:szCs w:val="24"/>
        </w:rPr>
      </w:pPr>
      <w:r>
        <w:rPr>
          <w:sz w:val="24"/>
          <w:szCs w:val="24"/>
        </w:rPr>
        <w:t>水资源利用方案包含项目所在地气候情况、市政条件及节水政策，项目概况，水量计算及水平衡分析，给排水系统设计方案介绍，节水器具及设备说明，非传统水源利用方案等内容。</w:t>
      </w:r>
    </w:p>
    <w:p>
      <w:pPr>
        <w:spacing w:line="360" w:lineRule="auto"/>
        <w:ind w:firstLine="480" w:firstLineChars="200"/>
        <w:jc w:val="left"/>
        <w:rPr>
          <w:sz w:val="24"/>
          <w:szCs w:val="24"/>
        </w:rPr>
      </w:pPr>
      <w:r>
        <w:rPr>
          <w:rFonts w:hint="eastAsia"/>
          <w:sz w:val="24"/>
          <w:szCs w:val="24"/>
        </w:rPr>
        <w:t>第1</w:t>
      </w:r>
      <w:r>
        <w:rPr>
          <w:sz w:val="24"/>
          <w:szCs w:val="24"/>
        </w:rPr>
        <w:t xml:space="preserve">款，按使用用途、付费或管理单元情况分别设置用水计量装置，可以统计各种用水部门的用水量和分析渗漏水量，达到持续改进节水管理的目的。同时，也可以据此施行计量收费，或节水绩效考核，促进行为节水。 </w:t>
      </w:r>
    </w:p>
    <w:p>
      <w:pPr>
        <w:spacing w:line="360" w:lineRule="auto"/>
        <w:ind w:firstLine="480" w:firstLineChars="200"/>
        <w:jc w:val="left"/>
        <w:rPr>
          <w:sz w:val="24"/>
          <w:szCs w:val="24"/>
        </w:rPr>
      </w:pPr>
      <w:r>
        <w:rPr>
          <w:rFonts w:hint="eastAsia"/>
          <w:sz w:val="24"/>
          <w:szCs w:val="24"/>
        </w:rPr>
        <w:t>第2</w:t>
      </w:r>
      <w:r>
        <w:rPr>
          <w:sz w:val="24"/>
          <w:szCs w:val="24"/>
        </w:rPr>
        <w:t xml:space="preserve">款，用水器具给水配件在单位时间内的出水量超过额定流量的现象，称超压出流现象，该流量与额定流量的差值，为超压出流量。超压出流量未产生使用效益，为无效用水量，即浪费的水量。给水系统设计时应采取措施控制超压出流现象，应合理进行压力分区，并适当地采取减压措施，避免造成浪费。 </w:t>
      </w:r>
    </w:p>
    <w:p>
      <w:pPr>
        <w:spacing w:line="360" w:lineRule="auto"/>
        <w:ind w:firstLine="480" w:firstLineChars="200"/>
        <w:jc w:val="left"/>
        <w:rPr>
          <w:sz w:val="24"/>
          <w:szCs w:val="24"/>
        </w:rPr>
      </w:pPr>
      <w:r>
        <w:rPr>
          <w:sz w:val="24"/>
          <w:szCs w:val="24"/>
        </w:rPr>
        <w:t xml:space="preserve">当选用自带减压装置的用水器具时，该部分管线的工作压力满足相关设计规范的要求即可。当建筑因功能需要，选用特殊水压要求的用水器具时，可根据产品要求采用适当的工作压力，但应选用用水效率高的产品，并在说明中做相应描述。 </w:t>
      </w:r>
    </w:p>
    <w:p>
      <w:pPr>
        <w:spacing w:line="360" w:lineRule="auto"/>
        <w:ind w:firstLine="480" w:firstLineChars="200"/>
        <w:jc w:val="left"/>
        <w:rPr>
          <w:sz w:val="24"/>
          <w:szCs w:val="24"/>
        </w:rPr>
      </w:pPr>
      <w:r>
        <w:rPr>
          <w:rFonts w:hint="eastAsia"/>
          <w:sz w:val="24"/>
          <w:szCs w:val="24"/>
        </w:rPr>
        <w:t>第3</w:t>
      </w:r>
      <w:r>
        <w:rPr>
          <w:sz w:val="24"/>
          <w:szCs w:val="24"/>
        </w:rPr>
        <w:t xml:space="preserve">款，所有用水器具应满足现行国家标准《节水型产品技术条件与管理通则》 GB/T 18870 的要求。除特殊功能需求外，均应采用节水型用水器具。 </w:t>
      </w:r>
    </w:p>
    <w:p>
      <w:pPr>
        <w:spacing w:line="360" w:lineRule="auto"/>
        <w:ind w:firstLine="480" w:firstLineChars="200"/>
        <w:jc w:val="left"/>
        <w:rPr>
          <w:sz w:val="24"/>
          <w:szCs w:val="24"/>
        </w:rPr>
      </w:pPr>
      <w:r>
        <w:rPr>
          <w:sz w:val="24"/>
          <w:szCs w:val="24"/>
        </w:rPr>
        <w:t>本条的评价方法为：预评价查阅相关设计文件（含水表分级设置示意图、各层用水点用水压力计算图表、用水器具节水性能要求）、水资源利用方案及其在设计中的落实说明；评价查阅相关竣工图、水资源利用方案及其在设计中的落实说明、用水器具产品说明书或产品节水性能检测报告。</w:t>
      </w:r>
    </w:p>
    <w:p>
      <w:pPr>
        <w:spacing w:line="360" w:lineRule="auto"/>
        <w:rPr>
          <w:sz w:val="24"/>
          <w:szCs w:val="24"/>
        </w:rPr>
      </w:pPr>
      <w:r>
        <w:rPr>
          <w:rFonts w:hint="eastAsia"/>
          <w:b/>
          <w:sz w:val="24"/>
          <w:szCs w:val="24"/>
        </w:rPr>
        <w:t xml:space="preserve">7.1.8  </w:t>
      </w:r>
      <w:r>
        <w:rPr>
          <w:sz w:val="24"/>
          <w:szCs w:val="24"/>
        </w:rPr>
        <w:t>本条适用于各类</w:t>
      </w:r>
      <w:r>
        <w:rPr>
          <w:rFonts w:hint="eastAsia"/>
          <w:sz w:val="24"/>
          <w:szCs w:val="24"/>
        </w:rPr>
        <w:t>民用</w:t>
      </w:r>
      <w:r>
        <w:rPr>
          <w:sz w:val="24"/>
          <w:szCs w:val="24"/>
        </w:rPr>
        <w:t>建筑的预评价、评价。</w:t>
      </w:r>
    </w:p>
    <w:p>
      <w:pPr>
        <w:spacing w:line="360" w:lineRule="auto"/>
        <w:ind w:firstLine="480" w:firstLineChars="200"/>
        <w:jc w:val="left"/>
        <w:rPr>
          <w:sz w:val="24"/>
          <w:szCs w:val="24"/>
        </w:rPr>
      </w:pPr>
      <w:r>
        <w:rPr>
          <w:rFonts w:hint="eastAsia"/>
          <w:sz w:val="24"/>
          <w:szCs w:val="24"/>
        </w:rPr>
        <w:t>本条在本标准</w:t>
      </w:r>
      <w:r>
        <w:rPr>
          <w:sz w:val="24"/>
          <w:szCs w:val="24"/>
        </w:rPr>
        <w:t>201</w:t>
      </w:r>
      <w:r>
        <w:rPr>
          <w:rFonts w:hint="eastAsia"/>
          <w:sz w:val="24"/>
          <w:szCs w:val="24"/>
        </w:rPr>
        <w:t>6</w:t>
      </w:r>
      <w:r>
        <w:rPr>
          <w:sz w:val="24"/>
          <w:szCs w:val="24"/>
        </w:rPr>
        <w:t>年版</w:t>
      </w:r>
      <w:r>
        <w:rPr>
          <w:rFonts w:hint="eastAsia"/>
          <w:sz w:val="24"/>
          <w:szCs w:val="24"/>
        </w:rPr>
        <w:t>第7</w:t>
      </w:r>
      <w:r>
        <w:rPr>
          <w:sz w:val="24"/>
          <w:szCs w:val="24"/>
        </w:rPr>
        <w:t>.2.1</w:t>
      </w:r>
      <w:r>
        <w:rPr>
          <w:rFonts w:hint="eastAsia"/>
          <w:sz w:val="24"/>
          <w:szCs w:val="24"/>
        </w:rPr>
        <w:t>条</w:t>
      </w:r>
      <w:r>
        <w:rPr>
          <w:sz w:val="24"/>
          <w:szCs w:val="24"/>
        </w:rPr>
        <w:t xml:space="preserve">发展而来。建筑方案的规则性对建筑结构的抗震安全性来说十分重要。国家标准《建筑抗震设计规范》GB 50011 - 2010 ( 2016年版）第3. 4. 1条（强制性条文）明确规定 </w:t>
      </w:r>
      <w:r>
        <w:rPr>
          <w:rFonts w:hint="eastAsia"/>
          <w:sz w:val="24"/>
          <w:szCs w:val="24"/>
        </w:rPr>
        <w:t>“</w:t>
      </w:r>
      <w:r>
        <w:rPr>
          <w:sz w:val="24"/>
          <w:szCs w:val="24"/>
        </w:rPr>
        <w:t>严重不规则的建筑不应采用</w:t>
      </w:r>
      <w:r>
        <w:rPr>
          <w:rFonts w:hint="eastAsia"/>
          <w:sz w:val="24"/>
          <w:szCs w:val="24"/>
        </w:rPr>
        <w:t>”</w:t>
      </w:r>
      <w:r>
        <w:rPr>
          <w:sz w:val="24"/>
          <w:szCs w:val="24"/>
        </w:rPr>
        <w:t>。</w:t>
      </w:r>
    </w:p>
    <w:p>
      <w:pPr>
        <w:spacing w:line="360" w:lineRule="auto"/>
        <w:ind w:firstLine="480" w:firstLineChars="200"/>
        <w:jc w:val="left"/>
        <w:rPr>
          <w:rFonts w:hint="eastAsia"/>
          <w:sz w:val="24"/>
          <w:szCs w:val="24"/>
        </w:rPr>
      </w:pPr>
      <w:r>
        <w:rPr>
          <w:rFonts w:hint="eastAsia"/>
          <w:sz w:val="24"/>
          <w:szCs w:val="24"/>
        </w:rPr>
        <w:t>本条的评价方法为：</w:t>
      </w:r>
      <w:r>
        <w:rPr>
          <w:sz w:val="24"/>
          <w:szCs w:val="24"/>
        </w:rPr>
        <w:t>预评价查阅相关设计文件（建筑图、结构施工图）、建筑形体规则性判定报告</w:t>
      </w:r>
      <w:r>
        <w:rPr>
          <w:rFonts w:hint="eastAsia"/>
          <w:sz w:val="24"/>
          <w:szCs w:val="24"/>
        </w:rPr>
        <w:t>；</w:t>
      </w:r>
      <w:r>
        <w:rPr>
          <w:sz w:val="24"/>
          <w:szCs w:val="24"/>
        </w:rPr>
        <w:t>评价查阅相关竣工图、建筑形体规则性判定报告</w:t>
      </w:r>
      <w:r>
        <w:rPr>
          <w:rFonts w:hint="eastAsia"/>
          <w:sz w:val="24"/>
          <w:szCs w:val="24"/>
        </w:rPr>
        <w:t>。</w:t>
      </w:r>
    </w:p>
    <w:p>
      <w:pPr>
        <w:spacing w:line="360" w:lineRule="auto"/>
        <w:rPr>
          <w:b/>
          <w:sz w:val="24"/>
          <w:szCs w:val="24"/>
        </w:rPr>
      </w:pPr>
      <w:r>
        <w:rPr>
          <w:rFonts w:hint="eastAsia"/>
          <w:b/>
          <w:sz w:val="24"/>
          <w:szCs w:val="24"/>
        </w:rPr>
        <w:t xml:space="preserve">7.1.9  </w:t>
      </w:r>
      <w:r>
        <w:rPr>
          <w:rFonts w:hint="eastAsia"/>
          <w:sz w:val="24"/>
          <w:szCs w:val="24"/>
        </w:rPr>
        <w:t>本条适用于各类民用建筑的预评价、评价。</w:t>
      </w:r>
    </w:p>
    <w:p>
      <w:pPr>
        <w:spacing w:line="360" w:lineRule="auto"/>
        <w:ind w:firstLine="480" w:firstLineChars="200"/>
        <w:jc w:val="left"/>
        <w:rPr>
          <w:sz w:val="24"/>
          <w:szCs w:val="24"/>
        </w:rPr>
      </w:pPr>
      <w:r>
        <w:rPr>
          <w:rFonts w:hint="eastAsia"/>
          <w:sz w:val="24"/>
          <w:szCs w:val="24"/>
        </w:rPr>
        <w:t>本条沿用本标准2016年版第7.1.3条。设置大量的没有功能的纯装饰性构件，不符合绿色建筑节约资源的要求。鼓励使用装饰和功能一体化构件，在满足建筑功能的前提之下，体现美学效果、节约资源。同时，设置屋顶装饰性构件时应特别注意鞭梢效应等抗震问题。对于不具备遮阳、导光、导风、载物、辅助绿化等作用的飘板、格栅、构架和塔、球、曲面等装饰性构件，应对其造价进行控制。为更好地贯彻新时期建筑方针“适用、经济、绿色、美观”，兼顾公共建筑尤其是商业及文娱建筑的特殊性，本次对其装饰性构件造价比定为不应大于1%。</w:t>
      </w:r>
    </w:p>
    <w:p>
      <w:pPr>
        <w:spacing w:line="360" w:lineRule="auto"/>
        <w:ind w:firstLine="480" w:firstLineChars="200"/>
        <w:jc w:val="left"/>
        <w:rPr>
          <w:sz w:val="24"/>
          <w:szCs w:val="24"/>
        </w:rPr>
      </w:pPr>
      <w:r>
        <w:rPr>
          <w:rFonts w:hint="eastAsia"/>
          <w:sz w:val="24"/>
          <w:szCs w:val="24"/>
        </w:rPr>
        <w:t>本条的评价方法为：预评价查阅相关设计文件，有装饰性构件的应提供其功能说明书和造价计算书；评价查阅相关竣工图和造价计算书。</w:t>
      </w:r>
    </w:p>
    <w:p>
      <w:pPr>
        <w:spacing w:line="360" w:lineRule="auto"/>
        <w:rPr>
          <w:rFonts w:hint="eastAsia"/>
          <w:sz w:val="24"/>
          <w:szCs w:val="24"/>
        </w:rPr>
      </w:pPr>
      <w:r>
        <w:rPr>
          <w:rFonts w:hint="eastAsia"/>
          <w:b/>
          <w:sz w:val="24"/>
          <w:szCs w:val="24"/>
        </w:rPr>
        <w:t xml:space="preserve">7.1.10  </w:t>
      </w:r>
      <w:r>
        <w:rPr>
          <w:rFonts w:hint="eastAsia"/>
          <w:sz w:val="24"/>
          <w:szCs w:val="24"/>
        </w:rPr>
        <w:t>本条适用于各类民用建筑的预评价、评价。</w:t>
      </w:r>
    </w:p>
    <w:p>
      <w:pPr>
        <w:spacing w:line="360" w:lineRule="auto"/>
        <w:ind w:firstLine="480" w:firstLineChars="200"/>
        <w:rPr>
          <w:b/>
          <w:sz w:val="24"/>
          <w:szCs w:val="24"/>
        </w:rPr>
      </w:pPr>
      <w:r>
        <w:rPr>
          <w:rFonts w:hint="eastAsia"/>
          <w:sz w:val="24"/>
          <w:szCs w:val="24"/>
        </w:rPr>
        <w:t>第1款预评价阶段不参评；特殊地区因客观原因无法达到者提供相关说明可不参评。第2款，若项目所在地无预拌混凝土或砂浆采购来源者提供相关说明可不参评。</w:t>
      </w:r>
    </w:p>
    <w:p>
      <w:pPr>
        <w:spacing w:line="360" w:lineRule="auto"/>
        <w:ind w:firstLine="480" w:firstLineChars="200"/>
        <w:jc w:val="left"/>
        <w:rPr>
          <w:sz w:val="24"/>
          <w:szCs w:val="24"/>
        </w:rPr>
      </w:pPr>
      <w:r>
        <w:rPr>
          <w:rFonts w:hint="eastAsia"/>
          <w:sz w:val="24"/>
          <w:szCs w:val="24"/>
        </w:rPr>
        <w:t>本条沿用本标准2016年版第7.2.7条、第7.2.8条和第7.2.9条。</w:t>
      </w:r>
    </w:p>
    <w:p>
      <w:pPr>
        <w:spacing w:line="360" w:lineRule="auto"/>
        <w:ind w:firstLine="480" w:firstLineChars="200"/>
        <w:jc w:val="left"/>
        <w:rPr>
          <w:sz w:val="24"/>
          <w:szCs w:val="24"/>
        </w:rPr>
      </w:pPr>
      <w:r>
        <w:rPr>
          <w:rFonts w:hint="eastAsia"/>
          <w:sz w:val="24"/>
          <w:szCs w:val="24"/>
        </w:rPr>
        <w:t>第1款，鼓励选用本地化建材，是减少运输过程的资源和能源消耗、降低环境污染的重要手段之一。本条要求就地取材制成的建筑产品所占的比例应大于60%。500km是指建筑材料的最后一个生产工厂或场地到施工现场的运输距离。</w:t>
      </w:r>
    </w:p>
    <w:p>
      <w:pPr>
        <w:spacing w:line="360" w:lineRule="auto"/>
        <w:ind w:firstLine="480" w:firstLineChars="200"/>
        <w:jc w:val="left"/>
        <w:rPr>
          <w:sz w:val="24"/>
          <w:szCs w:val="24"/>
        </w:rPr>
      </w:pPr>
      <w:r>
        <w:rPr>
          <w:rFonts w:hint="eastAsia"/>
          <w:sz w:val="24"/>
          <w:szCs w:val="24"/>
        </w:rPr>
        <w:t>第2款，提倡和推广使用预拌混凝土和预拌砂浆，其应用技术已较为成熟。与现场搅拌混凝土相比，预拌混凝土产品性能稳定，易于保证工程质鼠，且采用预拌混凝土能够减少施工现场噪声和粉尘污染，节约能源、资源，减少材料损耗。预拌混凝土应符合现行国家标准《预拌混凝土》GB/T14902的规定。</w:t>
      </w:r>
    </w:p>
    <w:p>
      <w:pPr>
        <w:spacing w:line="360" w:lineRule="auto"/>
        <w:ind w:firstLine="480" w:firstLineChars="200"/>
        <w:jc w:val="left"/>
        <w:rPr>
          <w:sz w:val="24"/>
          <w:szCs w:val="24"/>
        </w:rPr>
      </w:pPr>
      <w:r>
        <w:rPr>
          <w:rFonts w:hint="eastAsia"/>
          <w:sz w:val="24"/>
          <w:szCs w:val="24"/>
        </w:rPr>
        <w:t>现场拌制砂浆施工后经常出现空鼓、龟裂等质量问题，工程返修率高。预拌砂浆是由专业化工厂规模化生产的，可以很好地满足砂浆保水性、和易性、强度和耐久性要求，减少环境污染、材料损耗小、施工效率高、工程返修率低。预拌砂浆应符合现行国家标准《预拌砂浆》GB/T25181及《预拌砂浆应用技术规程》JGJ/T223的有关规定。</w:t>
      </w:r>
    </w:p>
    <w:p>
      <w:pPr>
        <w:spacing w:line="360" w:lineRule="auto"/>
        <w:ind w:firstLine="480" w:firstLineChars="200"/>
        <w:jc w:val="left"/>
        <w:rPr>
          <w:rFonts w:hint="eastAsia"/>
          <w:sz w:val="24"/>
          <w:szCs w:val="24"/>
        </w:rPr>
      </w:pPr>
      <w:r>
        <w:rPr>
          <w:rFonts w:hint="eastAsia"/>
          <w:sz w:val="24"/>
          <w:szCs w:val="24"/>
        </w:rPr>
        <w:t>本条的评价方法为：预评价查阅结构施工图及设计说明、工程材料预算清单；评价查阅结构竣工图及设计说明、购销合同及用量清单等有关证明文件。</w:t>
      </w:r>
    </w:p>
    <w:p>
      <w:pPr>
        <w:pStyle w:val="18"/>
        <w:spacing w:beforeLines="0" w:line="360" w:lineRule="auto"/>
        <w:ind w:firstLine="0" w:firstLineChars="0"/>
      </w:pPr>
      <w:r>
        <w:rPr>
          <w:rFonts w:hint="eastAsia"/>
        </w:rPr>
        <w:t>7.2  评 分 项</w:t>
      </w:r>
    </w:p>
    <w:p>
      <w:pPr>
        <w:spacing w:line="360" w:lineRule="auto"/>
        <w:ind w:firstLine="560" w:firstLineChars="200"/>
        <w:jc w:val="center"/>
        <w:rPr>
          <w:rFonts w:eastAsia="仿宋"/>
          <w:sz w:val="28"/>
          <w:szCs w:val="28"/>
        </w:rPr>
      </w:pPr>
      <w:r>
        <w:rPr>
          <w:rFonts w:hint="eastAsia" w:eastAsia="仿宋"/>
          <w:sz w:val="28"/>
          <w:szCs w:val="28"/>
        </w:rPr>
        <w:t>I 节地与土地利用</w:t>
      </w:r>
    </w:p>
    <w:p>
      <w:pPr>
        <w:spacing w:line="360" w:lineRule="auto"/>
        <w:rPr>
          <w:b/>
          <w:sz w:val="24"/>
          <w:szCs w:val="24"/>
        </w:rPr>
      </w:pPr>
      <w:r>
        <w:rPr>
          <w:rFonts w:hint="eastAsia"/>
          <w:b/>
          <w:sz w:val="24"/>
          <w:szCs w:val="24"/>
        </w:rPr>
        <w:t xml:space="preserve">7.2.1  </w:t>
      </w:r>
      <w:r>
        <w:rPr>
          <w:rFonts w:hint="eastAsia"/>
          <w:sz w:val="24"/>
          <w:szCs w:val="24"/>
        </w:rPr>
        <w:t>本条适用于各类民用建筑的预评价、评价。</w:t>
      </w:r>
    </w:p>
    <w:p>
      <w:pPr>
        <w:spacing w:line="360" w:lineRule="auto"/>
        <w:ind w:firstLine="480" w:firstLineChars="200"/>
        <w:jc w:val="left"/>
        <w:rPr>
          <w:sz w:val="24"/>
          <w:szCs w:val="24"/>
        </w:rPr>
      </w:pPr>
      <w:r>
        <w:rPr>
          <w:rFonts w:hint="eastAsia"/>
          <w:sz w:val="24"/>
          <w:szCs w:val="24"/>
        </w:rPr>
        <w:t>本条在本标准2016年版第4.2.1条基础上发展而来。</w:t>
      </w:r>
    </w:p>
    <w:p>
      <w:pPr>
        <w:spacing w:line="360" w:lineRule="auto"/>
        <w:ind w:firstLine="480" w:firstLineChars="200"/>
        <w:jc w:val="left"/>
        <w:rPr>
          <w:rFonts w:hint="eastAsia"/>
          <w:sz w:val="24"/>
          <w:szCs w:val="24"/>
        </w:rPr>
      </w:pPr>
      <w:r>
        <w:rPr>
          <w:rFonts w:hint="eastAsia"/>
          <w:sz w:val="24"/>
          <w:szCs w:val="24"/>
        </w:rPr>
        <w:t>对住宅建筑，人均居住用地指标是控制其节地的关键性指标。本标准与现行国家标准《城市居住区规划设计标准》GB50180进行了对接，并以居住区的最小规模即居住街坊的控制指标为基础，提出了人均住宅用地指标评分规则。居住街坊是指住宅建筑集中布局、由支路等城市道路围合（一般为2 hm</w:t>
      </w:r>
      <w:r>
        <w:rPr>
          <w:rFonts w:hint="eastAsia"/>
          <w:sz w:val="24"/>
          <w:szCs w:val="24"/>
          <w:vertAlign w:val="superscript"/>
        </w:rPr>
        <w:t>2</w:t>
      </w:r>
      <w:r>
        <w:rPr>
          <w:rFonts w:hint="eastAsia"/>
          <w:sz w:val="24"/>
          <w:szCs w:val="24"/>
        </w:rPr>
        <w:t>～4 hm</w:t>
      </w:r>
      <w:r>
        <w:rPr>
          <w:rFonts w:hint="eastAsia"/>
          <w:sz w:val="24"/>
          <w:szCs w:val="24"/>
          <w:vertAlign w:val="superscript"/>
        </w:rPr>
        <w:t>2</w:t>
      </w:r>
      <w:r>
        <w:rPr>
          <w:rFonts w:hint="eastAsia"/>
          <w:sz w:val="24"/>
          <w:szCs w:val="24"/>
        </w:rPr>
        <w:t>住宅用地，约300套～1000套住宅）形成的居住基本单元。评价时，如果建设项目规模超过4hm</w:t>
      </w:r>
      <w:r>
        <w:rPr>
          <w:rFonts w:hint="eastAsia"/>
          <w:sz w:val="24"/>
          <w:szCs w:val="24"/>
          <w:vertAlign w:val="superscript"/>
        </w:rPr>
        <w:t>2</w:t>
      </w:r>
      <w:r>
        <w:rPr>
          <w:rFonts w:hint="eastAsia"/>
          <w:sz w:val="24"/>
          <w:szCs w:val="24"/>
        </w:rPr>
        <w:t>气在项目整体指标满足所在地控制性详细规划要求的基础上，应以其小区路围合形成的居住街坊为评价单元计算人均住宅用地指标。</w:t>
      </w:r>
    </w:p>
    <w:p>
      <w:pPr>
        <w:spacing w:line="360" w:lineRule="auto"/>
        <w:ind w:firstLine="480" w:firstLineChars="200"/>
        <w:jc w:val="left"/>
        <w:rPr>
          <w:sz w:val="24"/>
          <w:szCs w:val="24"/>
        </w:rPr>
      </w:pPr>
      <w:r>
        <w:rPr>
          <w:rFonts w:hint="eastAsia"/>
          <w:sz w:val="24"/>
          <w:szCs w:val="24"/>
        </w:rPr>
        <w:t>对公共建筑，容积率是控制其节地的关键性指标。本标准在充分考虑公共建筑功能特征的基础上进行分类，一类是容积率通常较高的行政办公、商务办公、商业金融、旅馆饭店、交通枢纽等设施，另一类是容积率不宜太高的教育、文化、体育、医疗卫生、社会福利等公共服务设施，并分别制定了评分规则。评价时应根据建筑类型对应的容积率进行赋值。</w:t>
      </w:r>
    </w:p>
    <w:p>
      <w:pPr>
        <w:spacing w:line="360" w:lineRule="auto"/>
        <w:ind w:firstLine="480" w:firstLineChars="200"/>
        <w:jc w:val="left"/>
        <w:rPr>
          <w:sz w:val="24"/>
          <w:szCs w:val="24"/>
        </w:rPr>
      </w:pPr>
      <w:r>
        <w:rPr>
          <w:rFonts w:hint="eastAsia"/>
          <w:sz w:val="24"/>
          <w:szCs w:val="24"/>
        </w:rPr>
        <w:t>本条的评价方法为：预评价查阅规划许可的设计条件、相关设计文件、计算书、相关施工图；评价查阅相关设计文件、计算书、相关竣工图。</w:t>
      </w:r>
    </w:p>
    <w:p>
      <w:pPr>
        <w:spacing w:line="360" w:lineRule="auto"/>
        <w:rPr>
          <w:b/>
          <w:sz w:val="24"/>
          <w:szCs w:val="24"/>
        </w:rPr>
      </w:pPr>
      <w:r>
        <w:rPr>
          <w:b/>
          <w:sz w:val="24"/>
          <w:szCs w:val="24"/>
        </w:rPr>
        <w:t>7.2.2</w:t>
      </w:r>
      <w:r>
        <w:rPr>
          <w:rFonts w:hint="eastAsia"/>
          <w:b/>
          <w:sz w:val="24"/>
          <w:szCs w:val="24"/>
        </w:rPr>
        <w:t xml:space="preserve">  </w:t>
      </w:r>
      <w:r>
        <w:rPr>
          <w:rFonts w:hint="eastAsia"/>
          <w:sz w:val="24"/>
          <w:szCs w:val="24"/>
        </w:rPr>
        <w:t>本条适用于各类民用建筑的设计、运行评价。</w:t>
      </w:r>
    </w:p>
    <w:p>
      <w:pPr>
        <w:spacing w:line="360" w:lineRule="auto"/>
        <w:ind w:firstLine="480" w:firstLineChars="200"/>
        <w:jc w:val="left"/>
        <w:rPr>
          <w:sz w:val="24"/>
          <w:szCs w:val="24"/>
        </w:rPr>
      </w:pPr>
      <w:r>
        <w:rPr>
          <w:rFonts w:hint="eastAsia"/>
          <w:sz w:val="24"/>
          <w:szCs w:val="24"/>
        </w:rPr>
        <w:t>本条在本标准2016年版第4.2.3条的基础上发展而来。由于地下空间的利用受诸多因素制约，因此未利用地下空间的项目应提供相关说明。经论证，建筑规模、场地区位、地质等建设条件确实不适宜开发地下空间，并提供经济技术分析报告的，本条可直接得分。</w:t>
      </w:r>
    </w:p>
    <w:p>
      <w:pPr>
        <w:spacing w:line="360" w:lineRule="auto"/>
        <w:ind w:firstLine="480" w:firstLineChars="200"/>
        <w:jc w:val="left"/>
        <w:rPr>
          <w:sz w:val="24"/>
          <w:szCs w:val="24"/>
        </w:rPr>
      </w:pPr>
      <w:r>
        <w:rPr>
          <w:rFonts w:hint="eastAsia"/>
          <w:sz w:val="24"/>
          <w:szCs w:val="24"/>
        </w:rPr>
        <w:t>开发利用地下空间是城市节约集约用地的重要措施之一。地下空间的开发利用应与地上建筑及其他相关城市空间紧密结合、统一规划，但从雨水渗透及地下水补给、减少径流外排等生态环保要求出发，地下空间也应利用有度、科学合理。</w:t>
      </w:r>
    </w:p>
    <w:p>
      <w:pPr>
        <w:spacing w:line="360" w:lineRule="auto"/>
        <w:ind w:firstLine="480" w:firstLineChars="200"/>
        <w:jc w:val="left"/>
        <w:rPr>
          <w:sz w:val="24"/>
          <w:szCs w:val="24"/>
        </w:rPr>
      </w:pPr>
      <w:r>
        <w:rPr>
          <w:rFonts w:hint="eastAsia"/>
          <w:sz w:val="24"/>
          <w:szCs w:val="24"/>
        </w:rPr>
        <w:t>本条的评价方法为：预评价查阅相关设计文件、计算书；评价查阅相关竣工图、计算书。</w:t>
      </w:r>
    </w:p>
    <w:p>
      <w:pPr>
        <w:spacing w:line="360" w:lineRule="auto"/>
        <w:jc w:val="left"/>
        <w:rPr>
          <w:sz w:val="24"/>
          <w:szCs w:val="24"/>
        </w:rPr>
      </w:pPr>
      <w:r>
        <w:rPr>
          <w:b/>
          <w:sz w:val="24"/>
          <w:szCs w:val="24"/>
        </w:rPr>
        <w:t>7.2.3</w:t>
      </w:r>
      <w:r>
        <w:rPr>
          <w:rFonts w:hint="eastAsia"/>
          <w:sz w:val="24"/>
          <w:szCs w:val="24"/>
        </w:rPr>
        <w:t xml:space="preserve">  本条适用于各类民用建筑的预评价、评价。</w:t>
      </w:r>
    </w:p>
    <w:p>
      <w:pPr>
        <w:spacing w:line="360" w:lineRule="auto"/>
        <w:ind w:firstLine="480" w:firstLineChars="200"/>
        <w:jc w:val="left"/>
        <w:rPr>
          <w:sz w:val="24"/>
          <w:szCs w:val="24"/>
        </w:rPr>
      </w:pPr>
      <w:r>
        <w:rPr>
          <w:rFonts w:hint="eastAsia"/>
          <w:sz w:val="24"/>
          <w:szCs w:val="24"/>
        </w:rPr>
        <w:t>本条在本标准2016年版第4.2.10条基础上发展而来。本条鼓励建设立体式停车设施节约集约利用土地，提高土地使用效率，让更多的地面空间作为公共活动空间或公共绿地，营造宜居环境。</w:t>
      </w:r>
    </w:p>
    <w:p>
      <w:pPr>
        <w:spacing w:line="360" w:lineRule="auto"/>
        <w:ind w:firstLine="480" w:firstLineChars="200"/>
        <w:jc w:val="left"/>
        <w:rPr>
          <w:sz w:val="24"/>
          <w:szCs w:val="24"/>
        </w:rPr>
      </w:pPr>
      <w:r>
        <w:rPr>
          <w:rFonts w:hint="eastAsia"/>
          <w:sz w:val="24"/>
          <w:szCs w:val="24"/>
        </w:rPr>
        <w:t>本条的评价方法为：预评价查阅相关设计文件、计算书；评价查阅相关竣工图、计算书。</w:t>
      </w:r>
    </w:p>
    <w:p>
      <w:pPr>
        <w:spacing w:line="360" w:lineRule="auto"/>
        <w:rPr>
          <w:rFonts w:hint="eastAsia" w:eastAsia="仿宋"/>
          <w:sz w:val="28"/>
          <w:szCs w:val="28"/>
        </w:rPr>
      </w:pPr>
    </w:p>
    <w:p>
      <w:pPr>
        <w:spacing w:line="360" w:lineRule="auto"/>
        <w:ind w:firstLine="560" w:firstLineChars="200"/>
        <w:jc w:val="center"/>
        <w:rPr>
          <w:rFonts w:eastAsia="仿宋"/>
          <w:sz w:val="28"/>
          <w:szCs w:val="28"/>
        </w:rPr>
      </w:pPr>
      <w:r>
        <w:rPr>
          <w:rFonts w:eastAsia="仿宋"/>
          <w:sz w:val="28"/>
          <w:szCs w:val="28"/>
        </w:rPr>
        <w:fldChar w:fldCharType="begin"/>
      </w:r>
      <w:r>
        <w:rPr>
          <w:rFonts w:eastAsia="仿宋"/>
          <w:sz w:val="28"/>
          <w:szCs w:val="28"/>
        </w:rPr>
        <w:instrText xml:space="preserve"> </w:instrText>
      </w:r>
      <w:r>
        <w:rPr>
          <w:rFonts w:hint="eastAsia" w:eastAsia="仿宋"/>
          <w:sz w:val="28"/>
          <w:szCs w:val="28"/>
        </w:rPr>
        <w:instrText xml:space="preserve">= 2 \* ROMAN</w:instrText>
      </w:r>
      <w:r>
        <w:rPr>
          <w:rFonts w:eastAsia="仿宋"/>
          <w:sz w:val="28"/>
          <w:szCs w:val="28"/>
        </w:rPr>
        <w:instrText xml:space="preserve"> </w:instrText>
      </w:r>
      <w:r>
        <w:rPr>
          <w:rFonts w:eastAsia="仿宋"/>
          <w:sz w:val="28"/>
          <w:szCs w:val="28"/>
        </w:rPr>
        <w:fldChar w:fldCharType="separate"/>
      </w:r>
      <w:r>
        <w:rPr>
          <w:rFonts w:eastAsia="仿宋"/>
          <w:sz w:val="28"/>
          <w:szCs w:val="28"/>
          <w:lang/>
        </w:rPr>
        <w:t>II</w:t>
      </w:r>
      <w:r>
        <w:rPr>
          <w:rFonts w:eastAsia="仿宋"/>
          <w:sz w:val="28"/>
          <w:szCs w:val="28"/>
        </w:rPr>
        <w:fldChar w:fldCharType="end"/>
      </w:r>
      <w:r>
        <w:rPr>
          <w:rFonts w:hint="eastAsia" w:eastAsia="仿宋"/>
          <w:sz w:val="28"/>
          <w:szCs w:val="28"/>
        </w:rPr>
        <w:t xml:space="preserve"> 节能与能源利用</w:t>
      </w:r>
    </w:p>
    <w:p>
      <w:pPr>
        <w:spacing w:line="360" w:lineRule="auto"/>
        <w:rPr>
          <w:sz w:val="24"/>
          <w:szCs w:val="24"/>
        </w:rPr>
      </w:pPr>
      <w:r>
        <w:rPr>
          <w:b/>
          <w:sz w:val="24"/>
          <w:szCs w:val="24"/>
        </w:rPr>
        <w:t>7.2.4</w:t>
      </w:r>
      <w:r>
        <w:rPr>
          <w:rFonts w:hint="eastAsia"/>
          <w:sz w:val="24"/>
          <w:szCs w:val="24"/>
        </w:rPr>
        <w:t xml:space="preserve">  本条适用于各类民用建筑的预评价、评价。</w:t>
      </w:r>
    </w:p>
    <w:p>
      <w:pPr>
        <w:spacing w:line="360" w:lineRule="auto"/>
        <w:ind w:firstLine="480" w:firstLineChars="200"/>
        <w:rPr>
          <w:sz w:val="24"/>
          <w:szCs w:val="24"/>
        </w:rPr>
      </w:pPr>
      <w:r>
        <w:rPr>
          <w:rFonts w:hint="eastAsia"/>
          <w:sz w:val="24"/>
          <w:szCs w:val="24"/>
        </w:rPr>
        <w:t>本条在本标准2016年版第5.2.3条的基础上发展而来。</w:t>
      </w:r>
    </w:p>
    <w:p>
      <w:pPr>
        <w:spacing w:line="360" w:lineRule="auto"/>
        <w:ind w:firstLine="480" w:firstLineChars="200"/>
        <w:rPr>
          <w:sz w:val="24"/>
          <w:szCs w:val="24"/>
        </w:rPr>
      </w:pPr>
      <w:r>
        <w:rPr>
          <w:rFonts w:hint="eastAsia"/>
          <w:sz w:val="24"/>
          <w:szCs w:val="24"/>
        </w:rPr>
        <w:t>第1款，要求就在围护结构热工性能应优于国家现行有关建筑节能设计标准对外墙、屋顶、外窗、幕墙等围护结构主要部位的传热系数K 和太阳得热系数SHGC 的要求。具体的标准包括：现行行业标准《夏热冬冷地区居住建筑节能设计标准》JGJ134、《夏热冬暖地区居住建筑节能设计标准》JGJ75、现行国家标准《公共建筑节能设计标准》GB50189和广西现行节能相关标准规范。对于夏热冬暖地区的建筑，不对其围护结构传热系数K作要求，只对其太阳得热系数SHGC 提出要求；第2款，本条款适用于所有气候区所有建筑类型。特别是对于围护结构没有限值要求的建筑，以及室内发热量（包括人员、设备和灯光等）超过40W/㎡的公共建筑，应优先采用第2款判定。</w:t>
      </w:r>
    </w:p>
    <w:p>
      <w:pPr>
        <w:spacing w:line="360" w:lineRule="auto"/>
        <w:ind w:firstLine="480" w:firstLineChars="200"/>
        <w:rPr>
          <w:sz w:val="24"/>
          <w:szCs w:val="24"/>
        </w:rPr>
      </w:pPr>
      <w:r>
        <w:rPr>
          <w:rFonts w:hint="eastAsia"/>
          <w:sz w:val="24"/>
          <w:szCs w:val="24"/>
        </w:rPr>
        <w:t>建筑供暖空调负荷降低比例应按照行业标准《民用建筑绿色性能计算标准》JGJ/T449-2018第5.2节的规定，通过计算建筑围护结构节能率来判定。建筑围护结构节能率指的是，与参照建筑相比，设计建筑通过围护结构热工性能改善而使全年供暖空调能耗降低的百分数。</w:t>
      </w:r>
    </w:p>
    <w:p>
      <w:pPr>
        <w:spacing w:line="360" w:lineRule="auto"/>
        <w:ind w:firstLine="480" w:firstLineChars="200"/>
        <w:rPr>
          <w:sz w:val="24"/>
          <w:szCs w:val="24"/>
        </w:rPr>
      </w:pPr>
      <w:r>
        <w:rPr>
          <w:rFonts w:hint="eastAsia"/>
          <w:sz w:val="24"/>
          <w:szCs w:val="24"/>
        </w:rPr>
        <w:t>本条的评价方法为：预评价查阅相关设计文件（设计说明、围护结构施工详图）、节能计算书、建筑围护结构节能率分析报告（第2款评价时）；评价查阅相关竣工图（设计说明、围护结构竣工详图）、节能计算书、建筑围护结构节能率分析报告（第2款评价时）。</w:t>
      </w:r>
    </w:p>
    <w:p>
      <w:pPr>
        <w:spacing w:line="360" w:lineRule="auto"/>
        <w:rPr>
          <w:rFonts w:hint="eastAsia"/>
          <w:b/>
          <w:sz w:val="24"/>
          <w:szCs w:val="24"/>
        </w:rPr>
      </w:pPr>
      <w:r>
        <w:rPr>
          <w:b/>
          <w:sz w:val="24"/>
          <w:szCs w:val="24"/>
        </w:rPr>
        <w:t>7.2.</w:t>
      </w:r>
      <w:r>
        <w:rPr>
          <w:rFonts w:hint="eastAsia"/>
          <w:b/>
          <w:sz w:val="24"/>
          <w:szCs w:val="24"/>
        </w:rPr>
        <w:t xml:space="preserve">5  </w:t>
      </w:r>
      <w:r>
        <w:rPr>
          <w:rFonts w:hint="eastAsia"/>
          <w:sz w:val="24"/>
          <w:szCs w:val="24"/>
        </w:rPr>
        <w:t>本条适用于各类民用建筑的预评价、评价。对于城市市政热源或第三方的集中能源站，不对其热源机组能效进行评价。</w:t>
      </w:r>
    </w:p>
    <w:p>
      <w:pPr>
        <w:spacing w:line="360" w:lineRule="auto"/>
        <w:ind w:firstLine="480" w:firstLineChars="200"/>
        <w:jc w:val="left"/>
        <w:rPr>
          <w:rFonts w:hint="eastAsia"/>
          <w:sz w:val="24"/>
          <w:szCs w:val="24"/>
        </w:rPr>
      </w:pPr>
      <w:r>
        <w:rPr>
          <w:rFonts w:hint="eastAsia"/>
          <w:sz w:val="24"/>
          <w:szCs w:val="24"/>
        </w:rPr>
        <w:t>本条在本标准 2016年版第 5.2.4 条、第 11. 2. 2 条基础上发展而来。对于同时存在供暖、空调的项目，冷热源能效提升应同时满足表 7.2.5 的要求才能得分。</w:t>
      </w:r>
    </w:p>
    <w:p>
      <w:pPr>
        <w:spacing w:line="360" w:lineRule="auto"/>
        <w:ind w:firstLine="480" w:firstLineChars="200"/>
        <w:jc w:val="left"/>
        <w:rPr>
          <w:rFonts w:hint="eastAsia"/>
          <w:sz w:val="24"/>
          <w:szCs w:val="24"/>
        </w:rPr>
      </w:pPr>
      <w:r>
        <w:rPr>
          <w:rFonts w:hint="eastAsia"/>
          <w:sz w:val="24"/>
          <w:szCs w:val="24"/>
        </w:rPr>
        <w:t>国家标准《公共建筑节能设计标准》 GB 50189 - 2015 强制性条文第 4. 2. 5 、第 4.2. 10 、第 4.2. 14 、第 4.2. 17 和第 4.2. 19条，分别对锅炉额定热效率、电机驱动的蒸气压缩循环冷水（热泵）机组的性能系数 (COP) 、名义制冷址大于 7100W、采用电机驱动压缩机的单元式空气调节机、风管送风式和屋顶式空气调节机组的能效比 CEER) 、多联式空调（热泵）机组的制冷综合性能系数 (JPLV(C)) 、直燃型澳化悝吸收式冷（温）水机组的性能参数提出了基本要求。本条在此基础上，以比其强制性条文规定值提高百分比（锅炉热效率以百分点）的形式，对包括上述机组在内的供暖空调冷热源机组能源效率提出了更高要求。对于国家标准《公共建筑节能设计标准》 GB 50189 - 2015 中未予规定的情况，例如量大面广的住宅或小型公建中采用分体空调器、燃气热水炉、蒸汽型澳化梩吸收式冷（温）水机组等其他设备作为供暖空调冷热源（含热水炉同时作为供暖和生活热水热源的情况），应以现行国家标准《房间空气调节器能效限定值及能效等级》 GB 12021. 3 、《转速可控型房间空气调节器能效限定值及能效等级》 GB 21455 、《家用燃气快速热水器和燃气采暖热水炉能效限定值及能效等级》 GB 20665 、《漠化捚吸收式冷水机组能效限定值及能效等级》 GB 29540 等中的节能评价值作为本条得分的依据，若在节能评价值上再提高一级，可以得到更高的分值。</w:t>
      </w:r>
    </w:p>
    <w:p>
      <w:pPr>
        <w:spacing w:line="360" w:lineRule="auto"/>
        <w:ind w:firstLine="480" w:firstLineChars="200"/>
        <w:jc w:val="left"/>
        <w:rPr>
          <w:rFonts w:hint="eastAsia"/>
          <w:sz w:val="24"/>
          <w:szCs w:val="24"/>
        </w:rPr>
      </w:pPr>
      <w:r>
        <w:rPr>
          <w:rFonts w:hint="eastAsia"/>
          <w:sz w:val="24"/>
          <w:szCs w:val="24"/>
        </w:rPr>
        <w:t>本条的评价方法为：预评价查阅相关设计文件；评价查阅相关竣工图、主要产品型式检验报告。</w:t>
      </w:r>
    </w:p>
    <w:p>
      <w:pPr>
        <w:spacing w:line="360" w:lineRule="auto"/>
        <w:rPr>
          <w:rFonts w:hint="eastAsia"/>
          <w:b/>
          <w:sz w:val="24"/>
          <w:szCs w:val="24"/>
        </w:rPr>
      </w:pPr>
      <w:r>
        <w:rPr>
          <w:b/>
          <w:sz w:val="24"/>
          <w:szCs w:val="24"/>
        </w:rPr>
        <w:t>7.2.</w:t>
      </w:r>
      <w:r>
        <w:rPr>
          <w:rFonts w:hint="eastAsia"/>
          <w:b/>
          <w:sz w:val="24"/>
          <w:szCs w:val="24"/>
        </w:rPr>
        <w:t xml:space="preserve">6  </w:t>
      </w:r>
      <w:r>
        <w:rPr>
          <w:rFonts w:hint="eastAsia"/>
          <w:sz w:val="24"/>
          <w:szCs w:val="24"/>
        </w:rPr>
        <w:t>本条适用于各类民用建筑的预评价、评价。</w:t>
      </w:r>
    </w:p>
    <w:p>
      <w:pPr>
        <w:spacing w:line="360" w:lineRule="auto"/>
        <w:ind w:firstLine="480" w:firstLineChars="200"/>
        <w:jc w:val="left"/>
        <w:rPr>
          <w:rFonts w:hint="eastAsia"/>
          <w:sz w:val="24"/>
          <w:szCs w:val="24"/>
        </w:rPr>
      </w:pPr>
      <w:r>
        <w:rPr>
          <w:rFonts w:hint="eastAsia"/>
          <w:sz w:val="24"/>
          <w:szCs w:val="24"/>
        </w:rPr>
        <w:t>本条在本标准 2016年版第 5.2.5 条基础上发展而来。本条第 1 款，对于采用分体空调和多联机空调（热泵）机组的，本款可直接得分，对于设置新风机的项目，新风机需参与评价；第 2款，对于非集中采暖空调系统的项目，如分体空调、多联机空调（热泵）机组、单元式空气调节机等，本款可直接得分。</w:t>
      </w:r>
    </w:p>
    <w:p>
      <w:pPr>
        <w:spacing w:line="360" w:lineRule="auto"/>
        <w:ind w:firstLine="480" w:firstLineChars="200"/>
        <w:jc w:val="left"/>
        <w:rPr>
          <w:rFonts w:hint="eastAsia"/>
          <w:sz w:val="24"/>
          <w:szCs w:val="24"/>
        </w:rPr>
      </w:pPr>
      <w:r>
        <w:rPr>
          <w:rFonts w:hint="eastAsia"/>
          <w:sz w:val="24"/>
          <w:szCs w:val="24"/>
        </w:rPr>
        <w:t>本条主要判断参评项目是否采取了大温差空调制冷系统，或者更高效率的风机、水泵，评价其对输配系统能耗的影响。</w:t>
      </w:r>
    </w:p>
    <w:p>
      <w:pPr>
        <w:spacing w:line="360" w:lineRule="auto"/>
        <w:ind w:firstLine="480" w:firstLineChars="200"/>
        <w:jc w:val="left"/>
        <w:rPr>
          <w:rFonts w:hint="eastAsia"/>
          <w:sz w:val="24"/>
          <w:szCs w:val="24"/>
        </w:rPr>
      </w:pPr>
      <w:r>
        <w:rPr>
          <w:rFonts w:hint="eastAsia"/>
          <w:sz w:val="24"/>
          <w:szCs w:val="24"/>
        </w:rPr>
        <w:t>第 1 款，应按照国家标准《公共建筑节能设计标准》 GB50189 - 2015 中的第 4.3.22 条对风机单位耗功率的要求，进行评价。</w:t>
      </w:r>
    </w:p>
    <w:p>
      <w:pPr>
        <w:spacing w:line="360" w:lineRule="auto"/>
        <w:ind w:firstLine="480" w:firstLineChars="200"/>
        <w:jc w:val="left"/>
        <w:rPr>
          <w:rFonts w:hint="eastAsia"/>
          <w:sz w:val="24"/>
          <w:szCs w:val="24"/>
        </w:rPr>
      </w:pPr>
      <w:r>
        <w:rPr>
          <w:rFonts w:hint="eastAsia"/>
          <w:sz w:val="24"/>
          <w:szCs w:val="24"/>
        </w:rPr>
        <w:t>第 2 款，应按照国家标准《民用建筑供暖通风与空气调节设计规范》 GB 50736 - 2012 中的第 8. 5. 12 条和第 8. 11. 13 条对集中供暖系统热水循环泵的耗电输热比、空调冷热水系统循环水泵的耗电输冷（热）比的要求进行评价。</w:t>
      </w:r>
    </w:p>
    <w:p>
      <w:pPr>
        <w:spacing w:line="360" w:lineRule="auto"/>
        <w:ind w:firstLine="480" w:firstLineChars="200"/>
        <w:jc w:val="left"/>
        <w:rPr>
          <w:rFonts w:hint="eastAsia"/>
          <w:sz w:val="24"/>
          <w:szCs w:val="24"/>
        </w:rPr>
      </w:pPr>
      <w:r>
        <w:rPr>
          <w:rFonts w:hint="eastAsia"/>
          <w:sz w:val="24"/>
          <w:szCs w:val="24"/>
        </w:rPr>
        <w:t>本条提出对以上参数的更优化要求，通过末端系统及输配系统的优化设计，降低末端和输配能耗。</w:t>
      </w:r>
    </w:p>
    <w:p>
      <w:pPr>
        <w:spacing w:line="360" w:lineRule="auto"/>
        <w:ind w:firstLine="480" w:firstLineChars="200"/>
        <w:jc w:val="left"/>
        <w:rPr>
          <w:rFonts w:hint="eastAsia"/>
          <w:sz w:val="24"/>
          <w:szCs w:val="24"/>
        </w:rPr>
      </w:pPr>
      <w:r>
        <w:rPr>
          <w:rFonts w:hint="eastAsia"/>
          <w:sz w:val="24"/>
          <w:szCs w:val="24"/>
        </w:rPr>
        <w:t>本条的评价方法为：预评价查阅相关设计文件；评价查阅相关竣工图、主要产品型式检验报告。</w:t>
      </w:r>
    </w:p>
    <w:p>
      <w:pPr>
        <w:spacing w:line="360" w:lineRule="auto"/>
        <w:rPr>
          <w:b/>
          <w:sz w:val="24"/>
          <w:szCs w:val="24"/>
        </w:rPr>
      </w:pPr>
      <w:r>
        <w:rPr>
          <w:b/>
          <w:sz w:val="24"/>
          <w:szCs w:val="24"/>
        </w:rPr>
        <w:t>7.2.</w:t>
      </w:r>
      <w:r>
        <w:rPr>
          <w:rFonts w:hint="eastAsia"/>
          <w:b/>
          <w:sz w:val="24"/>
          <w:szCs w:val="24"/>
        </w:rPr>
        <w:t xml:space="preserve">7  </w:t>
      </w:r>
      <w:r>
        <w:rPr>
          <w:sz w:val="24"/>
          <w:szCs w:val="24"/>
        </w:rPr>
        <w:t>本条适用于各类民用建筑的预评价、评价。</w:t>
      </w:r>
    </w:p>
    <w:p>
      <w:pPr>
        <w:spacing w:line="360" w:lineRule="auto"/>
        <w:ind w:firstLine="480" w:firstLineChars="200"/>
        <w:jc w:val="left"/>
        <w:rPr>
          <w:sz w:val="24"/>
          <w:szCs w:val="24"/>
        </w:rPr>
      </w:pPr>
      <w:r>
        <w:rPr>
          <w:sz w:val="24"/>
          <w:szCs w:val="24"/>
        </w:rPr>
        <w:t>本条</w:t>
      </w:r>
      <w:r>
        <w:rPr>
          <w:rFonts w:hint="eastAsia"/>
          <w:sz w:val="24"/>
          <w:szCs w:val="24"/>
        </w:rPr>
        <w:t>在本</w:t>
      </w:r>
      <w:r>
        <w:rPr>
          <w:sz w:val="24"/>
          <w:szCs w:val="24"/>
        </w:rPr>
        <w:t>标准2016版5.2.12条的基础上发展而来。电气设备的节能选型及控制措施，对于实现电气系统节能起着关键的作用。</w:t>
      </w:r>
    </w:p>
    <w:p>
      <w:pPr>
        <w:spacing w:line="360" w:lineRule="auto"/>
        <w:ind w:firstLine="480" w:firstLineChars="200"/>
        <w:jc w:val="left"/>
        <w:rPr>
          <w:sz w:val="24"/>
          <w:szCs w:val="24"/>
        </w:rPr>
      </w:pPr>
      <w:r>
        <w:rPr>
          <w:sz w:val="24"/>
          <w:szCs w:val="24"/>
        </w:rPr>
        <w:t>第1款，要求主要功能房间的照明功率密度值不应高于现行国家标准《建筑照明设计标准》GB 50034规定的目标值要求。</w:t>
      </w:r>
    </w:p>
    <w:p>
      <w:pPr>
        <w:spacing w:line="360" w:lineRule="auto"/>
        <w:ind w:firstLine="480" w:firstLineChars="200"/>
        <w:jc w:val="left"/>
        <w:rPr>
          <w:sz w:val="24"/>
          <w:szCs w:val="24"/>
        </w:rPr>
      </w:pPr>
      <w:r>
        <w:rPr>
          <w:sz w:val="24"/>
          <w:szCs w:val="24"/>
        </w:rPr>
        <w:t>第2款，人工照明随天然光照度变化自动调节，不仅可以保证良好的光环境，避免室内产生过高的明暗亮度对比，还能在较大程度上降低照明能耗。</w:t>
      </w:r>
    </w:p>
    <w:p>
      <w:pPr>
        <w:spacing w:line="360" w:lineRule="auto"/>
        <w:ind w:firstLine="480" w:firstLineChars="200"/>
        <w:jc w:val="left"/>
        <w:rPr>
          <w:rFonts w:hint="eastAsia"/>
          <w:sz w:val="24"/>
          <w:szCs w:val="24"/>
        </w:rPr>
      </w:pPr>
      <w:r>
        <w:rPr>
          <w:sz w:val="24"/>
          <w:szCs w:val="24"/>
        </w:rPr>
        <w:t>第3款，要求照明产品满足国家现行有关标准的节能评价值</w:t>
      </w:r>
      <w:r>
        <w:rPr>
          <w:rFonts w:hint="eastAsia"/>
          <w:sz w:val="24"/>
          <w:szCs w:val="24"/>
        </w:rPr>
        <w:t>，</w:t>
      </w:r>
      <w:r>
        <w:rPr>
          <w:sz w:val="24"/>
          <w:szCs w:val="24"/>
        </w:rPr>
        <w:t>所用配电变压器满足现行国家标准《三相配电变压器能效限定值及能效等级》GB 20052规定的节能评价值，油浸式配电变压器、干式配电变压器的空载损耗和负载损耗值均应不高于能效等级2级的规定。</w:t>
      </w:r>
    </w:p>
    <w:p>
      <w:pPr>
        <w:spacing w:line="360" w:lineRule="auto"/>
        <w:ind w:firstLine="480" w:firstLineChars="200"/>
        <w:jc w:val="left"/>
        <w:rPr>
          <w:sz w:val="24"/>
          <w:szCs w:val="24"/>
        </w:rPr>
      </w:pPr>
      <w:r>
        <w:rPr>
          <w:sz w:val="24"/>
          <w:szCs w:val="24"/>
        </w:rPr>
        <w:t>第</w:t>
      </w:r>
      <w:r>
        <w:rPr>
          <w:rFonts w:hint="eastAsia"/>
          <w:sz w:val="24"/>
          <w:szCs w:val="24"/>
        </w:rPr>
        <w:t>4</w:t>
      </w:r>
      <w:r>
        <w:rPr>
          <w:sz w:val="24"/>
          <w:szCs w:val="24"/>
        </w:rPr>
        <w:t>款，水泵、风机等其他电气设备满足国家现行有关标准的</w:t>
      </w:r>
      <w:r>
        <w:rPr>
          <w:rFonts w:hint="eastAsia"/>
          <w:sz w:val="24"/>
          <w:szCs w:val="24"/>
        </w:rPr>
        <w:t>（例如《中小型三相异步电动机能效限定值及能效等级》GB18613、《通风机能效限定值及能效等级》GB19761、《清水离心泵能效限定值及节能评价值》GB19762）</w:t>
      </w:r>
      <w:r>
        <w:rPr>
          <w:sz w:val="24"/>
          <w:szCs w:val="24"/>
        </w:rPr>
        <w:t>节能评价值。</w:t>
      </w:r>
    </w:p>
    <w:p>
      <w:pPr>
        <w:spacing w:line="360" w:lineRule="auto"/>
        <w:ind w:firstLine="480" w:firstLineChars="200"/>
        <w:jc w:val="left"/>
        <w:rPr>
          <w:sz w:val="24"/>
          <w:szCs w:val="24"/>
        </w:rPr>
      </w:pPr>
      <w:r>
        <w:rPr>
          <w:sz w:val="24"/>
          <w:szCs w:val="24"/>
        </w:rPr>
        <w:t>本条的评价方法为：预评价查阅相关设计文件、相关设计说明；评价查阅相关竣工图，相关设计说明、相关产品型式检验报告，测试、检测报告。</w:t>
      </w:r>
    </w:p>
    <w:p>
      <w:pPr>
        <w:spacing w:line="360" w:lineRule="auto"/>
        <w:rPr>
          <w:rFonts w:hint="eastAsia"/>
          <w:b/>
          <w:sz w:val="24"/>
          <w:szCs w:val="24"/>
        </w:rPr>
      </w:pPr>
      <w:r>
        <w:rPr>
          <w:rFonts w:hint="eastAsia"/>
          <w:b/>
          <w:sz w:val="24"/>
          <w:szCs w:val="24"/>
        </w:rPr>
        <w:t xml:space="preserve">7.2.8  </w:t>
      </w:r>
      <w:r>
        <w:rPr>
          <w:rFonts w:hint="eastAsia"/>
          <w:sz w:val="24"/>
          <w:szCs w:val="24"/>
        </w:rPr>
        <w:t>本条适用于各类民用建筑的预评价、评价。</w:t>
      </w:r>
    </w:p>
    <w:p>
      <w:pPr>
        <w:spacing w:line="360" w:lineRule="auto"/>
        <w:ind w:firstLine="480" w:firstLineChars="200"/>
        <w:jc w:val="left"/>
        <w:rPr>
          <w:rFonts w:hint="eastAsia"/>
          <w:sz w:val="24"/>
          <w:szCs w:val="24"/>
        </w:rPr>
      </w:pPr>
      <w:r>
        <w:rPr>
          <w:rFonts w:hint="eastAsia"/>
          <w:sz w:val="24"/>
          <w:szCs w:val="24"/>
        </w:rPr>
        <w:t>本条在本标准 2016年版的第 5. 2. 6 条基础上发展而来。由于供暖空调和照明系统能耗是建筑的主要能耗，所以预评价和投入使用前的评价可计算建筑的供暖空调和照明系统能耗并进行比较，即根据现行行业标准《民用建筑绿色性能计算标准》 JGJ/T449 的相关规定，分别计算设计建筑及满足国家现行建筑节能设计标准规定的参照建筑的供暖空调能耗和照明系统能耗，计算其节能率并进行得分判定。本条文涉及的国家建筑节能设计标准，包括现行国家标准《公共建筑节能设计标准》 GB 50189 、现行行业标准《夏热冬冷地区居住建筑节能设计标准》 JGJ 134 、《夏热冬暖地区居住建筑节能设计标准》 JGJ 75和广西现行节能相关标准规范等。</w:t>
      </w:r>
    </w:p>
    <w:p>
      <w:pPr>
        <w:spacing w:line="360" w:lineRule="auto"/>
        <w:ind w:firstLine="480" w:firstLineChars="200"/>
        <w:jc w:val="left"/>
        <w:rPr>
          <w:rFonts w:hint="eastAsia"/>
          <w:sz w:val="24"/>
          <w:szCs w:val="24"/>
        </w:rPr>
      </w:pPr>
      <w:r>
        <w:rPr>
          <w:rFonts w:hint="eastAsia"/>
          <w:sz w:val="24"/>
          <w:szCs w:val="24"/>
        </w:rPr>
        <w:t>对于投入运行一年后的建筑，本条要求建筑实际能耗与现行国家标准《民用建筑能耗标准》 GB/T 51161 及地方相关标准中规定的约束值进行比较，根据建筑实际运行能耗低于约束值的百分比进行节能率得分判断。需要说明的是，当建筑运行后实际人数、小时数等参数和现行国家标准《民用建筑能耗标准》 GB/T51161 中的规定值不同时，可对建筑实际能耗进行修正，具体的修正办法参考现行国家标准《民用建筑能耗标准》 GB/T 51161或地方相关标准。</w:t>
      </w:r>
    </w:p>
    <w:p>
      <w:pPr>
        <w:spacing w:line="360" w:lineRule="auto"/>
        <w:ind w:firstLine="480" w:firstLineChars="200"/>
        <w:jc w:val="left"/>
        <w:rPr>
          <w:rFonts w:hint="eastAsia"/>
          <w:sz w:val="24"/>
          <w:szCs w:val="24"/>
        </w:rPr>
      </w:pPr>
      <w:r>
        <w:rPr>
          <w:rFonts w:hint="eastAsia"/>
          <w:sz w:val="24"/>
          <w:szCs w:val="24"/>
        </w:rPr>
        <w:t>本条的评价方法为：预评价查阅相关设计文件（暖通、电气、内装专业施工图纸及设计说明）、建筑暖通及照明系统能耗模拟计算书；评价查阅相关竣工图，建筑暖通系统及照明系统能耗模拟计算书、暖通系统运行调试记录等，投入使用的项目尚应查阅建筑运行能耗统计数据。</w:t>
      </w:r>
    </w:p>
    <w:p>
      <w:pPr>
        <w:spacing w:line="360" w:lineRule="auto"/>
        <w:rPr>
          <w:rFonts w:hint="eastAsia"/>
          <w:b/>
          <w:sz w:val="24"/>
          <w:szCs w:val="24"/>
        </w:rPr>
      </w:pPr>
      <w:r>
        <w:rPr>
          <w:rFonts w:hint="eastAsia"/>
          <w:b/>
          <w:sz w:val="24"/>
          <w:szCs w:val="24"/>
        </w:rPr>
        <w:t xml:space="preserve">7. 2. 9 </w:t>
      </w:r>
      <w:r>
        <w:rPr>
          <w:rFonts w:hint="eastAsia"/>
          <w:sz w:val="24"/>
          <w:szCs w:val="24"/>
        </w:rPr>
        <w:t>本条适用于各类民用建筑的预评价、评价。</w:t>
      </w:r>
    </w:p>
    <w:p>
      <w:pPr>
        <w:spacing w:line="360" w:lineRule="auto"/>
        <w:ind w:firstLine="480" w:firstLineChars="200"/>
        <w:jc w:val="left"/>
        <w:rPr>
          <w:rFonts w:hint="eastAsia"/>
          <w:sz w:val="24"/>
          <w:szCs w:val="24"/>
        </w:rPr>
      </w:pPr>
      <w:r>
        <w:rPr>
          <w:rFonts w:hint="eastAsia"/>
          <w:sz w:val="24"/>
          <w:szCs w:val="24"/>
        </w:rPr>
        <w:t>本条在本标准 2016年版第 5. 2. 16 条基础上发展而来。本条对由可再生能源提供的生活热水比例、空调用冷量和热量比例、电量比例进行分档评分。当建筑的可再生能源利用不止一种用途时，可各自评分并累计，当累计得分超过 10 分时，应取为 10分。本条涉及的可再生能源应用比例，应为可再生能源的净贡献量。</w:t>
      </w:r>
    </w:p>
    <w:p>
      <w:pPr>
        <w:spacing w:line="360" w:lineRule="auto"/>
        <w:ind w:firstLine="480" w:firstLineChars="200"/>
        <w:jc w:val="left"/>
        <w:rPr>
          <w:rFonts w:hint="eastAsia"/>
          <w:sz w:val="24"/>
          <w:szCs w:val="24"/>
        </w:rPr>
      </w:pPr>
      <w:r>
        <w:rPr>
          <w:rFonts w:hint="eastAsia"/>
          <w:sz w:val="24"/>
          <w:szCs w:val="24"/>
        </w:rPr>
        <w:t>对于可再生能源提供的生活热水比例，住宅可沿用住户比例的判别方式。如采用太阳能热水器等提供生活热水的住户比例达到表 7.2.9 所要求的数值，即可得相应分（但仍需校核太阳能热水系统的供热能力是否与相应住户数量相匹配）。对于公共建筑以及采用公共洗浴形式的住宅建筑，评价时应计算可再生能源对生活热水的设计小时供热量与生活热水的设计小时加热耗热量。</w:t>
      </w:r>
    </w:p>
    <w:p>
      <w:pPr>
        <w:spacing w:line="360" w:lineRule="auto"/>
        <w:ind w:firstLine="480" w:firstLineChars="200"/>
        <w:jc w:val="left"/>
        <w:rPr>
          <w:rFonts w:hint="eastAsia"/>
          <w:sz w:val="24"/>
          <w:szCs w:val="24"/>
        </w:rPr>
      </w:pPr>
      <w:r>
        <w:rPr>
          <w:rFonts w:hint="eastAsia"/>
          <w:sz w:val="24"/>
          <w:szCs w:val="24"/>
        </w:rPr>
        <w:t>对于存在稳定热水需求的住宅建筑或公共建筑，若采用高效的空气源热泵提供生活热水，满足国家标准《公共建筑节能设计标准》 GB 50189 - 2015 中第 5. 3. 3条的要求，也可在本条得分。但空气能作为可再生能源建筑应用应满足以下条件：①、当具备太阳能、浅层地能等可再生能源利用条件时，应优先选用太阳能、浅层地能等作为主要能源；②、当仅采用太阳能、浅层地能等可再生能源不能满足生活热水用量需求时，可考虑将空气能作为辅助能源利用；③、经论证，除空气能外，不具备太阳能、浅层地能等其他可再生能源利用条件时，方可考虑将空气能作为主要能源进行利用；④、当空气能作为空调系统冷热源时，不作为可再生能源建筑应用进行考量。</w:t>
      </w:r>
    </w:p>
    <w:p>
      <w:pPr>
        <w:spacing w:line="360" w:lineRule="auto"/>
        <w:ind w:firstLine="480" w:firstLineChars="200"/>
        <w:jc w:val="left"/>
        <w:rPr>
          <w:rFonts w:hint="eastAsia"/>
          <w:sz w:val="24"/>
          <w:szCs w:val="24"/>
        </w:rPr>
      </w:pPr>
      <w:r>
        <w:rPr>
          <w:rFonts w:hint="eastAsia"/>
          <w:sz w:val="24"/>
          <w:szCs w:val="24"/>
        </w:rPr>
        <w:t>对于可再生能源提供的空调用冷/热量以及电量，评价时可计算设计工况下可再生能源冷/热的冷热源机组（如地/水源热泵）的供冷/热量（即将机组输入功率考虑在内）与空调系统总的冷/热负荷（冬季供热且夏季供冷的，可简单取冷量和热量的算术和），发电机组（如光伏板）的输出功率与供电系统设计负荷之比。运行后应以可再生能源净贡献量为依据进行评价，即应该扣除辅助能耗（如冷却塔、必要的输配能耗或电加热等），再计算可再生能源的全年冷/热贡献量和可替代电量。</w:t>
      </w:r>
    </w:p>
    <w:p>
      <w:pPr>
        <w:spacing w:line="360" w:lineRule="auto"/>
        <w:ind w:firstLine="480" w:firstLineChars="200"/>
        <w:jc w:val="left"/>
        <w:rPr>
          <w:rFonts w:hint="eastAsia"/>
          <w:sz w:val="24"/>
          <w:szCs w:val="24"/>
        </w:rPr>
      </w:pPr>
      <w:r>
        <w:rPr>
          <w:rFonts w:hint="eastAsia"/>
          <w:sz w:val="24"/>
          <w:szCs w:val="24"/>
        </w:rPr>
        <w:t>本条的评价方法为：预评价查阅相关设计文件、计算分析报告；评价查阅相关竣工图、计算分析报告、产品型式检验报告。</w:t>
      </w:r>
    </w:p>
    <w:p>
      <w:pPr>
        <w:spacing w:line="360" w:lineRule="auto"/>
        <w:ind w:firstLine="560" w:firstLineChars="200"/>
        <w:jc w:val="center"/>
        <w:rPr>
          <w:rFonts w:hint="eastAsia" w:eastAsia="仿宋"/>
          <w:sz w:val="28"/>
          <w:szCs w:val="28"/>
        </w:rPr>
      </w:pPr>
    </w:p>
    <w:p>
      <w:pPr>
        <w:spacing w:line="360" w:lineRule="auto"/>
        <w:ind w:firstLine="560" w:firstLineChars="200"/>
        <w:jc w:val="center"/>
        <w:rPr>
          <w:rFonts w:hint="eastAsia" w:eastAsia="仿宋"/>
          <w:sz w:val="28"/>
          <w:szCs w:val="28"/>
        </w:rPr>
      </w:pPr>
      <w:r>
        <w:rPr>
          <w:rFonts w:eastAsia="仿宋"/>
          <w:sz w:val="28"/>
          <w:szCs w:val="28"/>
        </w:rPr>
        <w:fldChar w:fldCharType="begin"/>
      </w:r>
      <w:r>
        <w:rPr>
          <w:rFonts w:eastAsia="仿宋"/>
          <w:sz w:val="28"/>
          <w:szCs w:val="28"/>
        </w:rPr>
        <w:instrText xml:space="preserve"> </w:instrText>
      </w:r>
      <w:r>
        <w:rPr>
          <w:rFonts w:hint="eastAsia" w:eastAsia="仿宋"/>
          <w:sz w:val="28"/>
          <w:szCs w:val="28"/>
        </w:rPr>
        <w:instrText xml:space="preserve">= 3 \* ROMAN</w:instrText>
      </w:r>
      <w:r>
        <w:rPr>
          <w:rFonts w:eastAsia="仿宋"/>
          <w:sz w:val="28"/>
          <w:szCs w:val="28"/>
        </w:rPr>
        <w:instrText xml:space="preserve"> </w:instrText>
      </w:r>
      <w:r>
        <w:rPr>
          <w:rFonts w:eastAsia="仿宋"/>
          <w:sz w:val="28"/>
          <w:szCs w:val="28"/>
        </w:rPr>
        <w:fldChar w:fldCharType="separate"/>
      </w:r>
      <w:r>
        <w:rPr>
          <w:rFonts w:eastAsia="仿宋"/>
          <w:sz w:val="28"/>
          <w:szCs w:val="28"/>
        </w:rPr>
        <w:t>III</w:t>
      </w:r>
      <w:r>
        <w:rPr>
          <w:rFonts w:eastAsia="仿宋"/>
          <w:sz w:val="28"/>
          <w:szCs w:val="28"/>
        </w:rPr>
        <w:fldChar w:fldCharType="end"/>
      </w:r>
      <w:r>
        <w:rPr>
          <w:rFonts w:hint="eastAsia" w:eastAsia="仿宋"/>
          <w:sz w:val="28"/>
          <w:szCs w:val="28"/>
        </w:rPr>
        <w:t>节水与水资源利用</w:t>
      </w:r>
    </w:p>
    <w:p>
      <w:pPr>
        <w:spacing w:line="360" w:lineRule="auto"/>
        <w:ind w:firstLine="560" w:firstLineChars="200"/>
        <w:jc w:val="center"/>
        <w:rPr>
          <w:rFonts w:hint="eastAsia" w:eastAsia="仿宋"/>
          <w:sz w:val="28"/>
          <w:szCs w:val="28"/>
        </w:rPr>
      </w:pPr>
    </w:p>
    <w:p>
      <w:pPr>
        <w:spacing w:line="360" w:lineRule="auto"/>
        <w:rPr>
          <w:rFonts w:hint="eastAsia"/>
          <w:b/>
          <w:sz w:val="24"/>
          <w:szCs w:val="24"/>
        </w:rPr>
      </w:pPr>
      <w:r>
        <w:rPr>
          <w:rFonts w:hint="eastAsia"/>
          <w:b/>
          <w:sz w:val="24"/>
          <w:szCs w:val="24"/>
        </w:rPr>
        <w:t xml:space="preserve">7.2.10  </w:t>
      </w:r>
      <w:r>
        <w:rPr>
          <w:rFonts w:hint="eastAsia"/>
          <w:sz w:val="24"/>
          <w:szCs w:val="24"/>
        </w:rPr>
        <w:t>本条适用于各类民用建筑的预评价、评价。</w:t>
      </w:r>
    </w:p>
    <w:p>
      <w:pPr>
        <w:spacing w:line="360" w:lineRule="auto"/>
        <w:ind w:firstLine="480" w:firstLineChars="200"/>
        <w:jc w:val="left"/>
        <w:rPr>
          <w:rFonts w:hint="eastAsia"/>
          <w:sz w:val="24"/>
          <w:szCs w:val="24"/>
        </w:rPr>
      </w:pPr>
      <w:r>
        <w:rPr>
          <w:rFonts w:hint="eastAsia"/>
          <w:sz w:val="24"/>
          <w:szCs w:val="24"/>
        </w:rPr>
        <w:t xml:space="preserve">本条在本标准 </w:t>
      </w:r>
      <w:r>
        <w:rPr>
          <w:sz w:val="24"/>
          <w:szCs w:val="24"/>
        </w:rPr>
        <w:t>201</w:t>
      </w:r>
      <w:r>
        <w:rPr>
          <w:rFonts w:hint="eastAsia"/>
          <w:sz w:val="24"/>
          <w:szCs w:val="24"/>
        </w:rPr>
        <w:t>6</w:t>
      </w:r>
      <w:r>
        <w:rPr>
          <w:sz w:val="24"/>
          <w:szCs w:val="24"/>
        </w:rPr>
        <w:t xml:space="preserve"> 年版第 6. </w:t>
      </w:r>
      <w:r>
        <w:rPr>
          <w:rFonts w:hint="eastAsia"/>
          <w:sz w:val="24"/>
          <w:szCs w:val="24"/>
        </w:rPr>
        <w:t xml:space="preserve">2.6 </w:t>
      </w:r>
      <w:r>
        <w:rPr>
          <w:sz w:val="24"/>
          <w:szCs w:val="24"/>
        </w:rPr>
        <w:t xml:space="preserve">条、 11. 2. </w:t>
      </w:r>
      <w:r>
        <w:rPr>
          <w:rFonts w:hint="eastAsia"/>
          <w:sz w:val="24"/>
          <w:szCs w:val="24"/>
        </w:rPr>
        <w:t>4</w:t>
      </w:r>
      <w:r>
        <w:rPr>
          <w:sz w:val="24"/>
          <w:szCs w:val="24"/>
        </w:rPr>
        <w:t xml:space="preserve">条基础上发展而来。绿色建筑鼓励选用更高节水性能的节水器具。目前，我国己对大部分用水器具的用水效率制定了标准，如：现行国家标准《水嘴用水效率限定值及用水效率等级》 GB 25501 、《坐便器水效限定值及水效等级》 GB 25502, 《小便器用水效率限定值及用水效率等级》 GB 28377 、《淋浴器用水效率限定值及用水效率等级》 GB 28378 、《便器冲洗阀用水效率限定值及用水效率等级》 </w:t>
      </w:r>
    </w:p>
    <w:p>
      <w:pPr>
        <w:spacing w:line="360" w:lineRule="auto"/>
        <w:ind w:firstLine="480" w:firstLineChars="200"/>
        <w:jc w:val="left"/>
        <w:rPr>
          <w:rFonts w:hint="eastAsia"/>
          <w:sz w:val="24"/>
          <w:szCs w:val="24"/>
        </w:rPr>
      </w:pPr>
      <w:r>
        <w:rPr>
          <w:sz w:val="24"/>
          <w:szCs w:val="24"/>
        </w:rPr>
        <w:t xml:space="preserve">GB 28379《蹲便器用水效率限定值及用水效率等级》 GB105 30717 等。 </w:t>
      </w:r>
    </w:p>
    <w:p>
      <w:pPr>
        <w:spacing w:line="360" w:lineRule="auto"/>
        <w:ind w:firstLine="480" w:firstLineChars="200"/>
        <w:jc w:val="left"/>
        <w:rPr>
          <w:rFonts w:hint="eastAsia"/>
          <w:sz w:val="24"/>
          <w:szCs w:val="24"/>
        </w:rPr>
      </w:pPr>
      <w:r>
        <w:rPr>
          <w:sz w:val="24"/>
          <w:szCs w:val="24"/>
        </w:rPr>
        <w:t xml:space="preserve">在设计文件中要注明对卫生器具的节水要求和相应的参数或标准。当存在不同用水效率等级的卫生器具时，按满足最低等级的要求得分。 </w:t>
      </w:r>
    </w:p>
    <w:p>
      <w:pPr>
        <w:spacing w:line="360" w:lineRule="auto"/>
        <w:ind w:firstLine="480" w:firstLineChars="200"/>
        <w:jc w:val="left"/>
        <w:rPr>
          <w:rFonts w:hint="eastAsia"/>
          <w:sz w:val="24"/>
          <w:szCs w:val="24"/>
        </w:rPr>
      </w:pPr>
      <w:r>
        <w:rPr>
          <w:sz w:val="24"/>
          <w:szCs w:val="24"/>
        </w:rPr>
        <w:t>有用水效率相关标准的卫生器具全部采用达到相应用水效率等级的产品时，方可认定第 款或第 款得分；有用水效率相关标准的卫生器具中</w:t>
      </w:r>
      <w:r>
        <w:rPr>
          <w:rFonts w:hint="eastAsia"/>
          <w:sz w:val="24"/>
          <w:szCs w:val="24"/>
        </w:rPr>
        <w:t>，</w:t>
      </w:r>
      <w:r>
        <w:rPr>
          <w:sz w:val="24"/>
          <w:szCs w:val="24"/>
        </w:rPr>
        <w:t>50% 以上数量的器具采用达到用水效率等级</w:t>
      </w:r>
      <w:r>
        <w:rPr>
          <w:rFonts w:hint="eastAsia"/>
          <w:sz w:val="24"/>
          <w:szCs w:val="24"/>
        </w:rPr>
        <w:t>1</w:t>
      </w:r>
      <w:r>
        <w:rPr>
          <w:sz w:val="24"/>
          <w:szCs w:val="24"/>
        </w:rPr>
        <w:t>级的产品且其他达到</w:t>
      </w:r>
      <w:r>
        <w:rPr>
          <w:rFonts w:hint="eastAsia"/>
          <w:sz w:val="24"/>
          <w:szCs w:val="24"/>
        </w:rPr>
        <w:t>2</w:t>
      </w:r>
      <w:r>
        <w:rPr>
          <w:sz w:val="24"/>
          <w:szCs w:val="24"/>
        </w:rPr>
        <w:t>级时，方可认定第</w:t>
      </w:r>
      <w:r>
        <w:rPr>
          <w:rFonts w:hint="eastAsia"/>
          <w:sz w:val="24"/>
          <w:szCs w:val="24"/>
        </w:rPr>
        <w:t>2</w:t>
      </w:r>
      <w:r>
        <w:rPr>
          <w:sz w:val="24"/>
          <w:szCs w:val="24"/>
        </w:rPr>
        <w:t xml:space="preserve">款得分。今后当其他用水器具出台了相应标准时，按同样的原则进行要求。 </w:t>
      </w:r>
    </w:p>
    <w:p>
      <w:pPr>
        <w:spacing w:line="360" w:lineRule="auto"/>
        <w:ind w:firstLine="480" w:firstLineChars="200"/>
        <w:jc w:val="left"/>
        <w:rPr>
          <w:rFonts w:hint="eastAsia"/>
          <w:sz w:val="24"/>
          <w:szCs w:val="24"/>
        </w:rPr>
      </w:pPr>
      <w:r>
        <w:rPr>
          <w:sz w:val="24"/>
          <w:szCs w:val="24"/>
        </w:rPr>
        <w:t>本条的评价方法为：预评价查阅相关设计文件、产品说明书（含相关节水器具的性能参数要求）；评价查阅相关竣工图纸、设计说明、产品说明书、产品节水性能检测报告。</w:t>
      </w:r>
    </w:p>
    <w:p>
      <w:pPr>
        <w:spacing w:line="360" w:lineRule="auto"/>
        <w:rPr>
          <w:b/>
          <w:sz w:val="24"/>
          <w:szCs w:val="24"/>
        </w:rPr>
      </w:pPr>
      <w:r>
        <w:rPr>
          <w:rFonts w:hint="eastAsia"/>
          <w:b/>
          <w:sz w:val="24"/>
          <w:szCs w:val="24"/>
        </w:rPr>
        <w:t xml:space="preserve">7.2.11 </w:t>
      </w:r>
      <w:r>
        <w:rPr>
          <w:rFonts w:hint="eastAsia"/>
          <w:sz w:val="24"/>
          <w:szCs w:val="24"/>
        </w:rPr>
        <w:t>本条适用千各类民用建筑的预评价、评价。不设置空调</w:t>
      </w:r>
      <w:r>
        <w:rPr>
          <w:sz w:val="24"/>
          <w:szCs w:val="24"/>
        </w:rPr>
        <w:t>设备或系统的项目，第</w:t>
      </w:r>
      <w:r>
        <w:rPr>
          <w:rFonts w:hint="eastAsia"/>
          <w:sz w:val="24"/>
          <w:szCs w:val="24"/>
        </w:rPr>
        <w:t>2</w:t>
      </w:r>
      <w:r>
        <w:rPr>
          <w:sz w:val="24"/>
          <w:szCs w:val="24"/>
        </w:rPr>
        <w:t>款可直接得分。</w:t>
      </w:r>
    </w:p>
    <w:p>
      <w:pPr>
        <w:spacing w:line="360" w:lineRule="auto"/>
        <w:ind w:firstLine="480" w:firstLineChars="200"/>
        <w:jc w:val="left"/>
        <w:rPr>
          <w:sz w:val="24"/>
          <w:szCs w:val="24"/>
        </w:rPr>
      </w:pPr>
      <w:r>
        <w:rPr>
          <w:sz w:val="24"/>
          <w:szCs w:val="24"/>
        </w:rPr>
        <w:t>本条在本标准 201</w:t>
      </w:r>
      <w:r>
        <w:rPr>
          <w:rFonts w:hint="eastAsia"/>
          <w:sz w:val="24"/>
          <w:szCs w:val="24"/>
        </w:rPr>
        <w:t>6</w:t>
      </w:r>
      <w:r>
        <w:rPr>
          <w:sz w:val="24"/>
          <w:szCs w:val="24"/>
        </w:rPr>
        <w:t>年版第 6. 2.</w:t>
      </w:r>
      <w:r>
        <w:rPr>
          <w:rFonts w:hint="eastAsia"/>
          <w:sz w:val="24"/>
          <w:szCs w:val="24"/>
        </w:rPr>
        <w:t>7</w:t>
      </w:r>
      <w:r>
        <w:rPr>
          <w:sz w:val="24"/>
          <w:szCs w:val="24"/>
        </w:rPr>
        <w:t xml:space="preserve"> 条和第 6.2.8 条的基础上发展而来。 </w:t>
      </w:r>
    </w:p>
    <w:p>
      <w:pPr>
        <w:spacing w:line="360" w:lineRule="auto"/>
        <w:ind w:firstLine="480" w:firstLineChars="200"/>
        <w:jc w:val="left"/>
        <w:rPr>
          <w:sz w:val="24"/>
          <w:szCs w:val="24"/>
        </w:rPr>
      </w:pPr>
      <w:r>
        <w:rPr>
          <w:rFonts w:hint="eastAsia"/>
          <w:sz w:val="24"/>
          <w:szCs w:val="24"/>
        </w:rPr>
        <w:t>第1</w:t>
      </w:r>
      <w:r>
        <w:rPr>
          <w:sz w:val="24"/>
          <w:szCs w:val="24"/>
        </w:rPr>
        <w:t xml:space="preserve">款，绿化灌溉应采用喷灌、微灌等节水灌溉方式，同时还可采用土壤湿度传感器或雨天自动关闭等节水控制方式。 </w:t>
      </w:r>
    </w:p>
    <w:p>
      <w:pPr>
        <w:spacing w:line="360" w:lineRule="auto"/>
        <w:ind w:firstLine="480" w:firstLineChars="200"/>
        <w:jc w:val="left"/>
        <w:rPr>
          <w:sz w:val="24"/>
          <w:szCs w:val="24"/>
        </w:rPr>
      </w:pPr>
      <w:r>
        <w:rPr>
          <w:sz w:val="24"/>
          <w:szCs w:val="24"/>
        </w:rPr>
        <w:t xml:space="preserve">采用再生水灌溉时，因水中微生物在空气中极易传播，应避免采用喷灌方式。微灌包括滴灌、微喷灌、涌流灌和地下渗灌。 </w:t>
      </w:r>
    </w:p>
    <w:p>
      <w:pPr>
        <w:spacing w:line="360" w:lineRule="auto"/>
        <w:ind w:firstLine="480" w:firstLineChars="200"/>
        <w:jc w:val="left"/>
        <w:rPr>
          <w:sz w:val="24"/>
          <w:szCs w:val="24"/>
        </w:rPr>
      </w:pPr>
      <w:r>
        <w:rPr>
          <w:sz w:val="24"/>
          <w:szCs w:val="24"/>
        </w:rPr>
        <w:t>无须永久灌溉植物是指适应当地气候</w:t>
      </w:r>
      <w:r>
        <w:rPr>
          <w:rFonts w:hint="eastAsia"/>
          <w:sz w:val="24"/>
          <w:szCs w:val="24"/>
        </w:rPr>
        <w:t>，</w:t>
      </w:r>
      <w:r>
        <w:rPr>
          <w:sz w:val="24"/>
          <w:szCs w:val="24"/>
        </w:rPr>
        <w:t xml:space="preserve">仅依靠自然降雨即可维持良好的生长状态的植物，或在干旱时体内水分丧失，全株呈风干状态而不死亡的植物。无须永久灌溉植物仅在生根时需进行人工灌溉，因而不需设置永久的灌溉系统，但临时灌溉系统应在安装后一年之内移走。 </w:t>
      </w:r>
    </w:p>
    <w:p>
      <w:pPr>
        <w:spacing w:line="360" w:lineRule="auto"/>
        <w:ind w:firstLine="480" w:firstLineChars="200"/>
        <w:jc w:val="left"/>
        <w:rPr>
          <w:sz w:val="24"/>
          <w:szCs w:val="24"/>
        </w:rPr>
      </w:pPr>
      <w:r>
        <w:rPr>
          <w:sz w:val="24"/>
          <w:szCs w:val="24"/>
        </w:rPr>
        <w:t xml:space="preserve">当项目 90% 以上的绿化面积采用了高效节水灌溉方式或节水控制措施时，方可判定按“采用节水灌溉系统”得分；采用移动喷灌头本条不得分。当 50% 以上的绿化面积种植了无须永久灌溉植物，且其余部分绿化采用了节水灌溉方式时，可判定按 “种植无须永久灌溉植物”得分。当选用无须永久灌溉植物时，设计文件中应提供植物配置表，并说明是否属无须永久灌溉植物，申报方应提供当地植物名录，说明所选植物的耐旱性能。 </w:t>
      </w:r>
    </w:p>
    <w:p>
      <w:pPr>
        <w:spacing w:line="360" w:lineRule="auto"/>
        <w:ind w:firstLine="480" w:firstLineChars="200"/>
        <w:jc w:val="left"/>
        <w:rPr>
          <w:sz w:val="24"/>
          <w:szCs w:val="24"/>
        </w:rPr>
      </w:pPr>
      <w:r>
        <w:rPr>
          <w:rFonts w:hint="eastAsia"/>
          <w:sz w:val="24"/>
          <w:szCs w:val="24"/>
        </w:rPr>
        <w:t>第2</w:t>
      </w:r>
      <w:r>
        <w:rPr>
          <w:sz w:val="24"/>
          <w:szCs w:val="24"/>
        </w:rPr>
        <w:t xml:space="preserve">款，公共建筑集中空调系统的冷却水补水量占据建筑物用水量的 30%~50%, 减少冷却水系统不必要的耗水对整个建筑物的节水意义重大。 </w:t>
      </w:r>
    </w:p>
    <w:p>
      <w:pPr>
        <w:spacing w:line="360" w:lineRule="auto"/>
        <w:ind w:firstLine="480" w:firstLineChars="200"/>
        <w:jc w:val="left"/>
        <w:rPr>
          <w:sz w:val="24"/>
          <w:szCs w:val="24"/>
        </w:rPr>
      </w:pPr>
      <w:r>
        <w:rPr>
          <w:sz w:val="24"/>
          <w:szCs w:val="24"/>
        </w:rPr>
        <w:t xml:space="preserve">开式循环冷却水系统或闭式冷却塔的喷淋水系统可设置水处理装置和化学加药装置改善水质，减少排污耗水量；可采取加大集水盘、设置平衡管或平衡水箱等方式，相对加大冷却塔集水盘浮球阀至溢流口段的容积，避免停泵时的泄水和启泵时的补水浪费。 </w:t>
      </w:r>
    </w:p>
    <w:p>
      <w:pPr>
        <w:spacing w:line="360" w:lineRule="auto"/>
        <w:ind w:firstLine="480" w:firstLineChars="200"/>
        <w:jc w:val="left"/>
        <w:rPr>
          <w:sz w:val="24"/>
          <w:szCs w:val="24"/>
        </w:rPr>
      </w:pPr>
      <w:r>
        <w:rPr>
          <w:sz w:val="24"/>
          <w:szCs w:val="24"/>
        </w:rPr>
        <w:t xml:space="preserve">本条中的“无蒸发耗水量的冷却技术”包括采用分体空调、风冷式冷水机组、风冷式多联机、地源热泵、干式运行的闭式冷却塔等。 </w:t>
      </w:r>
    </w:p>
    <w:p>
      <w:pPr>
        <w:spacing w:line="360" w:lineRule="auto"/>
        <w:ind w:firstLine="480" w:firstLineChars="200"/>
        <w:jc w:val="left"/>
        <w:rPr>
          <w:sz w:val="24"/>
          <w:szCs w:val="24"/>
        </w:rPr>
      </w:pPr>
      <w:r>
        <w:rPr>
          <w:sz w:val="24"/>
          <w:szCs w:val="24"/>
        </w:rPr>
        <w:t>本条的评价方法为：预评价查阅相关设计图纸、设计说明（含相关节水产品的设备材料表、冷却节水措施说明）、产品说明书等；评价查阅设计说明、相关竣工图、产品说明书、产品节水性能检测报告、节水产品说明书等。</w:t>
      </w:r>
    </w:p>
    <w:p>
      <w:pPr>
        <w:widowControl/>
        <w:jc w:val="left"/>
      </w:pPr>
      <w:r>
        <w:rPr>
          <w:rFonts w:ascii="HiddenHorzOCR" w:hAnsi="HiddenHorzOCR" w:eastAsia="HiddenHorzOCR" w:cs="HiddenHorzOCR"/>
          <w:kern w:val="0"/>
          <w:sz w:val="27"/>
          <w:szCs w:val="27"/>
          <w:lang w:bidi="ar"/>
        </w:rPr>
        <w:t xml:space="preserve">测报告、节水产品说明书等。 </w:t>
      </w:r>
    </w:p>
    <w:p>
      <w:pPr>
        <w:spacing w:line="360" w:lineRule="auto"/>
        <w:jc w:val="left"/>
        <w:rPr>
          <w:sz w:val="24"/>
          <w:szCs w:val="24"/>
        </w:rPr>
      </w:pPr>
      <w:r>
        <w:rPr>
          <w:b/>
          <w:sz w:val="24"/>
          <w:szCs w:val="24"/>
        </w:rPr>
        <w:t xml:space="preserve">7. 2. 12 </w:t>
      </w:r>
      <w:r>
        <w:rPr>
          <w:sz w:val="24"/>
          <w:szCs w:val="24"/>
        </w:rPr>
        <w:t xml:space="preserve">本条适用于各类民用建筑的预评价、评价。未设室外景观水体的项目，本条可直接得分。室外景观水体的补水没有利用雨水或雨水利用最不满足要求时，本条不得分。 </w:t>
      </w:r>
    </w:p>
    <w:p>
      <w:pPr>
        <w:spacing w:line="360" w:lineRule="auto"/>
        <w:ind w:firstLine="480" w:firstLineChars="200"/>
        <w:jc w:val="left"/>
        <w:rPr>
          <w:sz w:val="24"/>
          <w:szCs w:val="24"/>
        </w:rPr>
      </w:pPr>
      <w:r>
        <w:rPr>
          <w:sz w:val="24"/>
          <w:szCs w:val="24"/>
        </w:rPr>
        <w:t>本条在本标准 201</w:t>
      </w:r>
      <w:r>
        <w:rPr>
          <w:rFonts w:hint="eastAsia"/>
          <w:sz w:val="24"/>
          <w:szCs w:val="24"/>
        </w:rPr>
        <w:t>6</w:t>
      </w:r>
      <w:r>
        <w:rPr>
          <w:sz w:val="24"/>
          <w:szCs w:val="24"/>
        </w:rPr>
        <w:t>年版第 6.2. 12 条的基础上发展而来。国家标准《民用建筑节水设计标准》 GB 50555 - 2010 中强制性条文第 4. 1.</w:t>
      </w:r>
      <w:r>
        <w:rPr>
          <w:rFonts w:hint="eastAsia"/>
          <w:sz w:val="24"/>
          <w:szCs w:val="24"/>
        </w:rPr>
        <w:t>5</w:t>
      </w:r>
      <w:r>
        <w:rPr>
          <w:sz w:val="24"/>
          <w:szCs w:val="24"/>
        </w:rPr>
        <w:t xml:space="preserve"> 条规定“景观用水水源不得采用市政自来水和地下井水”，全文强制国家标准《住宅建筑规范》 GB 50368 - 2005 </w:t>
      </w:r>
      <w:r>
        <w:rPr>
          <w:rFonts w:hint="eastAsia"/>
          <w:sz w:val="24"/>
          <w:szCs w:val="24"/>
        </w:rPr>
        <w:t>第</w:t>
      </w:r>
      <w:r>
        <w:rPr>
          <w:sz w:val="24"/>
          <w:szCs w:val="24"/>
        </w:rPr>
        <w:t xml:space="preserve">4.4.3 条规定“人工景观水体的补充水严禁使用自来水”，因此设有水景的项目，水体的补水只能使用非传统水源，或在取得当地相关主管部门的许可后，利用临近的河、湖水。有景观水体，但利用临近的河、湖水进行补水的，本条不得分。 </w:t>
      </w:r>
    </w:p>
    <w:p>
      <w:pPr>
        <w:spacing w:line="360" w:lineRule="auto"/>
        <w:ind w:firstLine="480" w:firstLineChars="200"/>
        <w:jc w:val="left"/>
        <w:rPr>
          <w:sz w:val="24"/>
          <w:szCs w:val="24"/>
        </w:rPr>
      </w:pPr>
      <w:r>
        <w:rPr>
          <w:sz w:val="24"/>
          <w:szCs w:val="24"/>
        </w:rPr>
        <w:t xml:space="preserve">设置本条的目的是鼓励将雨水控制利用和室外景观水体设计有机地结合起来。景观水体的补水应充分利用场地的雨水资源，不足时再考虑其他非传统水源的使用。 </w:t>
      </w:r>
    </w:p>
    <w:p>
      <w:pPr>
        <w:spacing w:line="360" w:lineRule="auto"/>
        <w:ind w:firstLine="480" w:firstLineChars="200"/>
        <w:jc w:val="left"/>
        <w:rPr>
          <w:sz w:val="24"/>
          <w:szCs w:val="24"/>
        </w:rPr>
      </w:pPr>
      <w:r>
        <w:rPr>
          <w:sz w:val="24"/>
          <w:szCs w:val="24"/>
        </w:rPr>
        <w:t xml:space="preserve">缺水地区和降雨量少的地区应谨慎考虑设置景观水体，景观水体的设计应通过技术经济可行性论证确定规模和具体形式。设计时应做好景观水体补水量和水体蒸发量逐月的水量平衡，确保满足本条的定量要求。 </w:t>
      </w:r>
    </w:p>
    <w:p>
      <w:pPr>
        <w:spacing w:line="360" w:lineRule="auto"/>
        <w:ind w:firstLine="480" w:firstLineChars="200"/>
        <w:jc w:val="left"/>
        <w:rPr>
          <w:sz w:val="24"/>
          <w:szCs w:val="24"/>
        </w:rPr>
      </w:pPr>
      <w:r>
        <w:rPr>
          <w:sz w:val="24"/>
          <w:szCs w:val="24"/>
        </w:rPr>
        <w:t xml:space="preserve">本条要求利用雨水提供的补水量大于水体蒸发量的 60%, 亦即采用除雨水外的其他水源对景观水体补水的量不得大于水体蒸发量的 40% 。设计时应做好景观水体补水量和水体蒸发量的水量平衡景观水体的补水管应单独设置水表，不得与绿化用水、道路冲洗用水合用水表。 </w:t>
      </w:r>
    </w:p>
    <w:p>
      <w:pPr>
        <w:spacing w:line="360" w:lineRule="auto"/>
        <w:ind w:firstLine="480" w:firstLineChars="200"/>
        <w:jc w:val="left"/>
        <w:rPr>
          <w:sz w:val="24"/>
          <w:szCs w:val="24"/>
        </w:rPr>
      </w:pPr>
      <w:r>
        <w:rPr>
          <w:sz w:val="24"/>
          <w:szCs w:val="24"/>
        </w:rPr>
        <w:t>景观水体的水质根据水景补水水源和功能性质不同，应不低</w:t>
      </w:r>
      <w:r>
        <w:rPr>
          <w:rFonts w:hint="eastAsia"/>
          <w:sz w:val="24"/>
          <w:szCs w:val="24"/>
        </w:rPr>
        <w:t>于</w:t>
      </w:r>
      <w:r>
        <w:rPr>
          <w:sz w:val="24"/>
          <w:szCs w:val="24"/>
        </w:rPr>
        <w:t>国家现行标准的相关要求，具体水质标准详见本标准第 5.2.4</w:t>
      </w:r>
      <w:r>
        <w:rPr>
          <w:rFonts w:hint="eastAsia"/>
          <w:sz w:val="24"/>
          <w:szCs w:val="24"/>
        </w:rPr>
        <w:t xml:space="preserve"> </w:t>
      </w:r>
      <w:r>
        <w:rPr>
          <w:sz w:val="24"/>
          <w:szCs w:val="24"/>
        </w:rPr>
        <w:t xml:space="preserve">条。景观水体的水质保障应采用生态水处理技术，在雨水进入景观水体之前充分利用植物和土壤渗滤作用削减径流污染，通过采用非硬质池底及生态驳岸，为水生动植物提供栖息条件，通过水生动植物对水体进行净化；必要时可采取其他辅助手段对水体进行净化，保障水体水质安全。 </w:t>
      </w:r>
    </w:p>
    <w:p>
      <w:pPr>
        <w:spacing w:line="360" w:lineRule="auto"/>
        <w:ind w:firstLine="480" w:firstLineChars="200"/>
        <w:jc w:val="left"/>
        <w:rPr>
          <w:sz w:val="24"/>
          <w:szCs w:val="24"/>
        </w:rPr>
      </w:pPr>
      <w:r>
        <w:rPr>
          <w:sz w:val="24"/>
          <w:szCs w:val="24"/>
        </w:rPr>
        <w:t>本条的评价方法为：预评价查阅相关设计文件（含总平面图竖向、室内外给排水施工图、水景详图等），水量平衡计算书；评价查阅相关竣工图，计算书，景观水体补水用水计量运行记录，景观水体水质检测报告等。</w:t>
      </w:r>
    </w:p>
    <w:p>
      <w:pPr>
        <w:spacing w:line="360" w:lineRule="auto"/>
        <w:rPr>
          <w:b/>
          <w:sz w:val="24"/>
          <w:szCs w:val="24"/>
        </w:rPr>
      </w:pPr>
      <w:r>
        <w:rPr>
          <w:rFonts w:hint="eastAsia"/>
          <w:b/>
          <w:sz w:val="24"/>
          <w:szCs w:val="24"/>
        </w:rPr>
        <w:t xml:space="preserve">7.2.13  </w:t>
      </w:r>
      <w:r>
        <w:rPr>
          <w:rFonts w:hint="eastAsia"/>
          <w:sz w:val="24"/>
          <w:szCs w:val="24"/>
        </w:rPr>
        <w:t>本条适用于各类民用建筑的预评价、评价。</w:t>
      </w:r>
    </w:p>
    <w:p>
      <w:pPr>
        <w:spacing w:line="360" w:lineRule="auto"/>
        <w:ind w:firstLine="480" w:firstLineChars="200"/>
        <w:jc w:val="left"/>
        <w:rPr>
          <w:sz w:val="24"/>
          <w:szCs w:val="24"/>
        </w:rPr>
      </w:pPr>
      <w:r>
        <w:rPr>
          <w:sz w:val="24"/>
          <w:szCs w:val="24"/>
        </w:rPr>
        <w:t>本条在本标准 201</w:t>
      </w:r>
      <w:r>
        <w:rPr>
          <w:rFonts w:hint="eastAsia"/>
          <w:sz w:val="24"/>
          <w:szCs w:val="24"/>
        </w:rPr>
        <w:t>6</w:t>
      </w:r>
      <w:r>
        <w:rPr>
          <w:sz w:val="24"/>
          <w:szCs w:val="24"/>
        </w:rPr>
        <w:t xml:space="preserve">年版第 6. 2. 10 条、第 6. 2. 11 条基础上发展而来。非传统水源指不同千传统地表水供水和地下水供水的水源，包括再生水、雨水、海水等，再生水又分市政再生水和建筑中水。 </w:t>
      </w:r>
    </w:p>
    <w:p>
      <w:pPr>
        <w:spacing w:line="360" w:lineRule="auto"/>
        <w:ind w:firstLine="480" w:firstLineChars="200"/>
        <w:jc w:val="left"/>
        <w:rPr>
          <w:sz w:val="24"/>
          <w:szCs w:val="24"/>
        </w:rPr>
      </w:pPr>
      <w:r>
        <w:rPr>
          <w:sz w:val="24"/>
          <w:szCs w:val="24"/>
        </w:rPr>
        <w:t xml:space="preserve">非传统水源的选择与利用方案应通过经济技术比较确定： </w:t>
      </w:r>
    </w:p>
    <w:p>
      <w:pPr>
        <w:spacing w:line="360" w:lineRule="auto"/>
        <w:ind w:firstLine="480" w:firstLineChars="200"/>
        <w:jc w:val="left"/>
        <w:rPr>
          <w:sz w:val="24"/>
          <w:szCs w:val="24"/>
        </w:rPr>
      </w:pPr>
      <w:r>
        <w:rPr>
          <w:rFonts w:hint="eastAsia"/>
          <w:sz w:val="24"/>
          <w:szCs w:val="24"/>
        </w:rPr>
        <w:t>第1</w:t>
      </w:r>
      <w:r>
        <w:rPr>
          <w:sz w:val="24"/>
          <w:szCs w:val="24"/>
        </w:rPr>
        <w:t xml:space="preserve">款，雨水更适合于季节性利用，比如用于绿化、景观水体、冷却等季节性用途，同时雨水调蓄池在调蓄容积上增加雨水回用容积也可以作为杂用水补充水源使用。 </w:t>
      </w:r>
    </w:p>
    <w:p>
      <w:pPr>
        <w:spacing w:line="360" w:lineRule="auto"/>
        <w:ind w:firstLine="480" w:firstLineChars="200"/>
        <w:jc w:val="left"/>
        <w:rPr>
          <w:sz w:val="24"/>
          <w:szCs w:val="24"/>
        </w:rPr>
      </w:pPr>
      <w:r>
        <w:rPr>
          <w:rFonts w:hint="eastAsia"/>
          <w:sz w:val="24"/>
          <w:szCs w:val="24"/>
        </w:rPr>
        <w:t>第2</w:t>
      </w:r>
      <w:r>
        <w:rPr>
          <w:sz w:val="24"/>
          <w:szCs w:val="24"/>
        </w:rPr>
        <w:t xml:space="preserve">款，中水和全年降水比较均衡地区的雨水则更适合于非季节性利用，比如冲厕等全年性用途。 </w:t>
      </w:r>
    </w:p>
    <w:p>
      <w:pPr>
        <w:spacing w:line="360" w:lineRule="auto"/>
        <w:ind w:firstLine="480" w:firstLineChars="200"/>
        <w:jc w:val="left"/>
        <w:rPr>
          <w:sz w:val="24"/>
          <w:szCs w:val="24"/>
        </w:rPr>
      </w:pPr>
      <w:r>
        <w:rPr>
          <w:rFonts w:hint="eastAsia"/>
          <w:sz w:val="24"/>
          <w:szCs w:val="24"/>
        </w:rPr>
        <w:t>第3</w:t>
      </w:r>
      <w:r>
        <w:rPr>
          <w:sz w:val="24"/>
          <w:szCs w:val="24"/>
        </w:rPr>
        <w:t xml:space="preserve">款，使用非传统水源替代自来水作为冷却水补水水源时，其水质指标应满足现行国家标准《采暖空调系统水质》 GB/T 29044 中规定的空调冷却水的水质要求。 </w:t>
      </w:r>
    </w:p>
    <w:p>
      <w:pPr>
        <w:spacing w:line="360" w:lineRule="auto"/>
        <w:ind w:firstLine="480" w:firstLineChars="200"/>
        <w:jc w:val="left"/>
        <w:rPr>
          <w:sz w:val="24"/>
          <w:szCs w:val="24"/>
        </w:rPr>
      </w:pPr>
      <w:r>
        <w:rPr>
          <w:sz w:val="24"/>
          <w:szCs w:val="24"/>
        </w:rPr>
        <w:t>全年来看，冷却水用水时段与我国大多数地区的降雨高峰时段基本一致，因此收集雨水处理后用于冷却水补水，从水量平衡上容易达到吻合。雨水的水质要优于生活污废水，处理成本较低、管理相对简单，具有较好的成本效益，值得推广。</w:t>
      </w:r>
    </w:p>
    <w:p>
      <w:pPr>
        <w:spacing w:line="360" w:lineRule="auto"/>
        <w:ind w:firstLine="480" w:firstLineChars="200"/>
        <w:jc w:val="left"/>
        <w:rPr>
          <w:sz w:val="24"/>
          <w:szCs w:val="24"/>
        </w:rPr>
      </w:pPr>
      <w:r>
        <w:rPr>
          <w:sz w:val="24"/>
          <w:szCs w:val="24"/>
        </w:rPr>
        <w:t xml:space="preserve">“采用非传统水源的用水量占其总用水量的比例”指项目某部分杂用水采用非传统水源的用水量占该部分杂用水总用水量的比例。 </w:t>
      </w:r>
    </w:p>
    <w:p>
      <w:pPr>
        <w:spacing w:line="360" w:lineRule="auto"/>
        <w:ind w:firstLine="480" w:firstLineChars="200"/>
        <w:jc w:val="left"/>
        <w:rPr>
          <w:sz w:val="24"/>
          <w:szCs w:val="24"/>
        </w:rPr>
      </w:pPr>
      <w:r>
        <w:rPr>
          <w:sz w:val="24"/>
          <w:szCs w:val="24"/>
        </w:rPr>
        <w:t xml:space="preserve">本条文涉及的非传统水源用水量、总用水量均为设计年用水量。设计年用水量由设计平均日用水量和用水时间计算得出。 </w:t>
      </w:r>
    </w:p>
    <w:p>
      <w:pPr>
        <w:spacing w:line="360" w:lineRule="auto"/>
        <w:ind w:firstLine="480" w:firstLineChars="200"/>
        <w:jc w:val="left"/>
        <w:rPr>
          <w:sz w:val="24"/>
          <w:szCs w:val="24"/>
        </w:rPr>
      </w:pPr>
      <w:r>
        <w:rPr>
          <w:sz w:val="24"/>
          <w:szCs w:val="24"/>
        </w:rPr>
        <w:t xml:space="preserve">设计平均日用水量应根据节水用水定额和设计用水单元数量计算得出，节水用水定额取值详见现行国家标准《民用建筑节水设计标准》 GB 50555 </w:t>
      </w:r>
    </w:p>
    <w:p>
      <w:pPr>
        <w:spacing w:line="360" w:lineRule="auto"/>
        <w:ind w:firstLine="480" w:firstLineChars="200"/>
        <w:jc w:val="left"/>
        <w:rPr>
          <w:sz w:val="24"/>
          <w:szCs w:val="24"/>
        </w:rPr>
      </w:pPr>
      <w:r>
        <w:rPr>
          <w:sz w:val="24"/>
          <w:szCs w:val="24"/>
        </w:rPr>
        <w:t xml:space="preserve">本条的评价方法为：预评价查阅相关设计文件、当地相关主管部门的许可、非传统水源利用计算书；评价查阅相关竣工图纸、设计说明、非传统水源利用计算书、非传统水源水质检测报告。 </w:t>
      </w:r>
    </w:p>
    <w:p>
      <w:pPr>
        <w:spacing w:line="360" w:lineRule="auto"/>
        <w:ind w:firstLine="480" w:firstLineChars="200"/>
        <w:rPr>
          <w:rFonts w:hint="eastAsia"/>
          <w:sz w:val="24"/>
          <w:szCs w:val="24"/>
        </w:rPr>
      </w:pPr>
    </w:p>
    <w:p>
      <w:pPr>
        <w:spacing w:line="360" w:lineRule="auto"/>
        <w:ind w:firstLine="560" w:firstLineChars="200"/>
        <w:jc w:val="center"/>
        <w:rPr>
          <w:rFonts w:hint="eastAsia" w:eastAsia="仿宋"/>
          <w:sz w:val="28"/>
          <w:szCs w:val="28"/>
        </w:rPr>
      </w:pPr>
      <w:r>
        <w:rPr>
          <w:rFonts w:hint="eastAsia" w:eastAsia="仿宋"/>
          <w:sz w:val="28"/>
          <w:szCs w:val="28"/>
        </w:rPr>
        <w:t>Ⅳ</w:t>
      </w:r>
      <w:r>
        <w:rPr>
          <w:rFonts w:eastAsia="仿宋"/>
          <w:sz w:val="28"/>
          <w:szCs w:val="28"/>
        </w:rPr>
        <w:t xml:space="preserve">  </w:t>
      </w:r>
      <w:r>
        <w:rPr>
          <w:rFonts w:hint="eastAsia" w:eastAsia="仿宋"/>
          <w:sz w:val="28"/>
          <w:szCs w:val="28"/>
        </w:rPr>
        <w:t>节材与绿色建材</w:t>
      </w:r>
    </w:p>
    <w:p>
      <w:pPr>
        <w:spacing w:line="300" w:lineRule="auto"/>
        <w:jc w:val="center"/>
        <w:rPr>
          <w:b/>
          <w:sz w:val="24"/>
          <w:szCs w:val="24"/>
        </w:rPr>
      </w:pPr>
    </w:p>
    <w:p>
      <w:pPr>
        <w:spacing w:line="360" w:lineRule="auto"/>
        <w:rPr>
          <w:b/>
          <w:sz w:val="24"/>
          <w:szCs w:val="24"/>
        </w:rPr>
      </w:pPr>
      <w:r>
        <w:rPr>
          <w:rFonts w:hint="eastAsia"/>
          <w:b/>
          <w:sz w:val="24"/>
          <w:szCs w:val="24"/>
        </w:rPr>
        <w:t xml:space="preserve">7.2.14  </w:t>
      </w:r>
      <w:r>
        <w:rPr>
          <w:rFonts w:hint="eastAsia"/>
          <w:sz w:val="24"/>
          <w:szCs w:val="24"/>
        </w:rPr>
        <w:t>本条适用于各类民用建筑的预评价、评价。</w:t>
      </w:r>
    </w:p>
    <w:p>
      <w:pPr>
        <w:spacing w:line="360" w:lineRule="auto"/>
        <w:ind w:firstLine="480" w:firstLineChars="200"/>
        <w:rPr>
          <w:sz w:val="24"/>
          <w:szCs w:val="24"/>
        </w:rPr>
      </w:pPr>
      <w:r>
        <w:rPr>
          <w:rFonts w:hint="eastAsia"/>
          <w:sz w:val="24"/>
          <w:szCs w:val="24"/>
        </w:rPr>
        <w:t>本条在本标准2016年版第7.2.3条和第9.2.12条基础上发展而来。土建和装修一体化设计、施工，对节约能源资源有重要作用。土建和装修一体化设计，要求对土建设计和装修设计统一协调，在土建设计时考虑装修设计需求，事先进行孔洞预留和装修面层固定件的预埋，避免在装修时对已有建筑构件打凿、穿孔。这样既可减少设计的反复，又可保证结构的安全，减少材料消耗，并降低装修成本。</w:t>
      </w:r>
    </w:p>
    <w:p>
      <w:pPr>
        <w:spacing w:line="360" w:lineRule="auto"/>
        <w:ind w:firstLine="480" w:firstLineChars="200"/>
        <w:rPr>
          <w:sz w:val="24"/>
          <w:szCs w:val="24"/>
        </w:rPr>
      </w:pPr>
      <w:r>
        <w:rPr>
          <w:rFonts w:hint="eastAsia"/>
          <w:sz w:val="24"/>
          <w:szCs w:val="24"/>
        </w:rPr>
        <w:t>实践中，可由建设单位统一组织建筑主体工程和装修施工，也可由建设单位提供菜单式的装修做法由业主选择，统一进行图纸设计、材料购买和施工。在选材和施工方面尽可能采取工业化制造，具备稳定性、耐久性、环保性和通用性的设备和装修装饰材料，从而在工程竣工验收时室内装修一步到位，避免破坏建筑构件和设施。</w:t>
      </w:r>
    </w:p>
    <w:p>
      <w:pPr>
        <w:spacing w:line="360" w:lineRule="auto"/>
        <w:ind w:firstLine="480" w:firstLineChars="200"/>
        <w:rPr>
          <w:sz w:val="24"/>
          <w:szCs w:val="24"/>
        </w:rPr>
      </w:pPr>
      <w:r>
        <w:rPr>
          <w:rFonts w:hint="eastAsia"/>
          <w:sz w:val="24"/>
          <w:szCs w:val="24"/>
        </w:rPr>
        <w:t>本条的评价方法为：预评价查阅土建、装修各专业施工图及其他证明材料；评价查阅土建、装修各专业竣工图及其他证明材料。</w:t>
      </w:r>
    </w:p>
    <w:p>
      <w:pPr>
        <w:spacing w:line="360" w:lineRule="auto"/>
        <w:rPr>
          <w:b/>
          <w:sz w:val="24"/>
          <w:szCs w:val="24"/>
        </w:rPr>
      </w:pPr>
      <w:r>
        <w:rPr>
          <w:rFonts w:hint="eastAsia"/>
          <w:b/>
          <w:sz w:val="24"/>
          <w:szCs w:val="24"/>
        </w:rPr>
        <w:t xml:space="preserve">7.2.15  </w:t>
      </w:r>
      <w:r>
        <w:rPr>
          <w:rFonts w:hint="eastAsia"/>
          <w:sz w:val="24"/>
          <w:szCs w:val="24"/>
        </w:rPr>
        <w:t>本条适用于各类民用建筑的预评价、评价。</w:t>
      </w:r>
    </w:p>
    <w:p>
      <w:pPr>
        <w:spacing w:line="360" w:lineRule="auto"/>
        <w:ind w:firstLine="480" w:firstLineChars="200"/>
        <w:rPr>
          <w:sz w:val="24"/>
          <w:szCs w:val="24"/>
        </w:rPr>
      </w:pPr>
      <w:r>
        <w:rPr>
          <w:rFonts w:hint="eastAsia"/>
          <w:sz w:val="24"/>
          <w:szCs w:val="24"/>
        </w:rPr>
        <w:t>本条在本标准2016年版第7.2.11条基础上发展而来。合理选用建筑结构材料，可减小构件的截面尺寸及材料用量，同时也可减轻结构自重，减小地震作用及地基基础的材料消耗，节材效果显著优于同类建材。</w:t>
      </w:r>
    </w:p>
    <w:p>
      <w:pPr>
        <w:spacing w:line="360" w:lineRule="auto"/>
        <w:ind w:firstLine="480" w:firstLineChars="200"/>
        <w:rPr>
          <w:sz w:val="24"/>
          <w:szCs w:val="24"/>
        </w:rPr>
      </w:pPr>
      <w:r>
        <w:rPr>
          <w:rFonts w:hint="eastAsia"/>
          <w:sz w:val="24"/>
          <w:szCs w:val="24"/>
        </w:rPr>
        <w:t>本条中建筑结构材料主要指高强度钢筋、高强度混凝土、高强钢材。高强度钢筋包括400MPa级及以上受力普通钢筋，高强混凝土包括C50及以上混凝土，高强度钢材包括现行国家标准《钢结构设计标准》GB50017规定的Q345级以上高强钢材。采用混合结构时，考虑混凝土、钢的组合作用优化结构设计，可达到较好的节材效果。</w:t>
      </w:r>
    </w:p>
    <w:p>
      <w:pPr>
        <w:spacing w:line="360" w:lineRule="auto"/>
        <w:ind w:firstLine="480" w:firstLineChars="200"/>
        <w:rPr>
          <w:sz w:val="24"/>
          <w:szCs w:val="24"/>
        </w:rPr>
      </w:pPr>
      <w:r>
        <w:rPr>
          <w:rFonts w:hint="eastAsia"/>
          <w:sz w:val="24"/>
          <w:szCs w:val="24"/>
        </w:rPr>
        <w:t>材料用最比例应按以下规则进行计算：</w:t>
      </w:r>
    </w:p>
    <w:p>
      <w:pPr>
        <w:spacing w:line="360" w:lineRule="auto"/>
        <w:ind w:firstLine="480" w:firstLineChars="200"/>
        <w:rPr>
          <w:sz w:val="24"/>
          <w:szCs w:val="24"/>
        </w:rPr>
      </w:pPr>
      <w:r>
        <w:rPr>
          <w:rFonts w:hint="eastAsia"/>
          <w:sz w:val="24"/>
          <w:szCs w:val="24"/>
        </w:rPr>
        <w:t>1 对于混凝土结构，需计算高强度钢筋比例、高强混凝土比例；</w:t>
      </w:r>
    </w:p>
    <w:p>
      <w:pPr>
        <w:spacing w:line="360" w:lineRule="auto"/>
        <w:ind w:firstLine="480" w:firstLineChars="200"/>
        <w:rPr>
          <w:sz w:val="24"/>
          <w:szCs w:val="24"/>
        </w:rPr>
      </w:pPr>
      <w:r>
        <w:rPr>
          <w:rFonts w:hint="eastAsia"/>
          <w:sz w:val="24"/>
          <w:szCs w:val="24"/>
        </w:rPr>
        <w:t>2 对于钢结构，需计算高强钢材比例、螺栓连接节点数量比例；</w:t>
      </w:r>
    </w:p>
    <w:p>
      <w:pPr>
        <w:spacing w:line="360" w:lineRule="auto"/>
        <w:ind w:firstLine="480" w:firstLineChars="200"/>
        <w:rPr>
          <w:sz w:val="24"/>
          <w:szCs w:val="24"/>
        </w:rPr>
      </w:pPr>
      <w:r>
        <w:rPr>
          <w:rFonts w:hint="eastAsia"/>
          <w:sz w:val="24"/>
          <w:szCs w:val="24"/>
        </w:rPr>
        <w:t>3 对于混合结构，除计算以上材料之外，还需计算建筑结构比例。</w:t>
      </w:r>
    </w:p>
    <w:p>
      <w:pPr>
        <w:spacing w:line="360" w:lineRule="auto"/>
        <w:ind w:firstLine="480" w:firstLineChars="200"/>
        <w:rPr>
          <w:sz w:val="24"/>
          <w:szCs w:val="24"/>
        </w:rPr>
      </w:pPr>
      <w:r>
        <w:rPr>
          <w:rFonts w:hint="eastAsia"/>
          <w:sz w:val="24"/>
          <w:szCs w:val="24"/>
        </w:rPr>
        <w:t>本条的评价方法为：预评价查阅相关设计文件、各类材料用量比例计算书；评价查阅相关竣工图、施工记录、材料决算清单、各类材料用量比例计算书。</w:t>
      </w:r>
    </w:p>
    <w:p>
      <w:pPr>
        <w:spacing w:line="360" w:lineRule="auto"/>
        <w:rPr>
          <w:b/>
          <w:sz w:val="24"/>
          <w:szCs w:val="24"/>
        </w:rPr>
      </w:pPr>
      <w:r>
        <w:rPr>
          <w:rFonts w:hint="eastAsia"/>
          <w:b/>
          <w:sz w:val="24"/>
          <w:szCs w:val="24"/>
        </w:rPr>
        <w:t xml:space="preserve">7.2.16  </w:t>
      </w:r>
      <w:r>
        <w:rPr>
          <w:rFonts w:hint="eastAsia"/>
          <w:sz w:val="24"/>
          <w:szCs w:val="24"/>
        </w:rPr>
        <w:t>本条适用于各类民用建筑的预评价、评价。</w:t>
      </w:r>
    </w:p>
    <w:p>
      <w:pPr>
        <w:spacing w:line="360" w:lineRule="auto"/>
        <w:ind w:firstLine="480" w:firstLineChars="200"/>
        <w:rPr>
          <w:sz w:val="24"/>
          <w:szCs w:val="24"/>
        </w:rPr>
      </w:pPr>
      <w:r>
        <w:rPr>
          <w:rFonts w:hint="eastAsia"/>
          <w:sz w:val="24"/>
          <w:szCs w:val="24"/>
        </w:rPr>
        <w:t>本条在本标准2016年版第7.2.6条基础上发展而来。本条在国家标准《装配式建筑评价标准》GB/T51129-2017基础上进一步明确要求。工业化内装部品主要包括整体卫浴、整体厨房、装配式吊顶、干式工法地面、装配式内墙、管线集成与设备设施等。</w:t>
      </w:r>
    </w:p>
    <w:p>
      <w:pPr>
        <w:spacing w:line="360" w:lineRule="auto"/>
        <w:ind w:firstLine="480" w:firstLineChars="200"/>
        <w:rPr>
          <w:sz w:val="24"/>
          <w:szCs w:val="24"/>
        </w:rPr>
      </w:pPr>
      <w:r>
        <w:rPr>
          <w:rFonts w:hint="eastAsia"/>
          <w:sz w:val="24"/>
          <w:szCs w:val="24"/>
        </w:rPr>
        <w:t>本条的评价方法为：预评价查阅相关设计文件（建筑及装修专业施工图、工业化内装部品施工图）、工业化内装部品用最比例计算书；评价查阅相关竣工图、工业化内装部品用量比例计算书。</w:t>
      </w:r>
    </w:p>
    <w:p>
      <w:pPr>
        <w:spacing w:line="360" w:lineRule="auto"/>
        <w:rPr>
          <w:b/>
          <w:sz w:val="24"/>
          <w:szCs w:val="24"/>
        </w:rPr>
      </w:pPr>
      <w:r>
        <w:rPr>
          <w:rFonts w:hint="eastAsia"/>
          <w:b/>
          <w:sz w:val="24"/>
          <w:szCs w:val="24"/>
        </w:rPr>
        <w:t xml:space="preserve">7.2.17  </w:t>
      </w:r>
      <w:r>
        <w:rPr>
          <w:rFonts w:hint="eastAsia"/>
          <w:sz w:val="24"/>
          <w:szCs w:val="24"/>
        </w:rPr>
        <w:t>本条适用于各类民用建筑的预评价、评价。</w:t>
      </w:r>
    </w:p>
    <w:p>
      <w:pPr>
        <w:spacing w:line="360" w:lineRule="auto"/>
        <w:ind w:firstLine="480" w:firstLineChars="200"/>
        <w:rPr>
          <w:sz w:val="24"/>
          <w:szCs w:val="24"/>
        </w:rPr>
      </w:pPr>
      <w:r>
        <w:rPr>
          <w:rFonts w:hint="eastAsia"/>
          <w:sz w:val="24"/>
          <w:szCs w:val="24"/>
        </w:rPr>
        <w:t>本条在本标准2016年版第7.2.12和7.2.13条基础上发展而来。建筑材料的循环利用是建筑节材与材料资源利用的重要内容。本条的设置旨在整体考量建筑材料的循环利用对于节材与材料资源利用的贡献，评价范围是永久性安装在工程中的建筑材料，不包括电梯等设备。有的建筑材料可以在不改变材料的物质形态情况下直接进行再利用，或经过简单组合、修复后可直接再利用，如有些材质的门、窗等。有的建筑材料需要通过改变物质形态才能实现循环利用，如难以直接回用的钢筋、玻璃等，可以回炉再生产。有的建筑材料则既可以直接再利用又可以回炉后再循环利用，例如标准尺寸的钢结构型材等。以上各类材料均可纳入本条范畴。</w:t>
      </w:r>
    </w:p>
    <w:p>
      <w:pPr>
        <w:spacing w:line="360" w:lineRule="auto"/>
        <w:ind w:firstLine="480" w:firstLineChars="200"/>
        <w:rPr>
          <w:sz w:val="24"/>
          <w:szCs w:val="24"/>
        </w:rPr>
      </w:pPr>
      <w:r>
        <w:rPr>
          <w:rFonts w:hint="eastAsia"/>
          <w:sz w:val="24"/>
          <w:szCs w:val="24"/>
        </w:rPr>
        <w:t>建筑中选用的可再循环建筑材料和可再利用建筑材料，可以减少生产加工新材料带来的资源、能源消耗及环境污染，具有良好的经济、社会和环境效益。</w:t>
      </w:r>
    </w:p>
    <w:p>
      <w:pPr>
        <w:spacing w:line="360" w:lineRule="auto"/>
        <w:ind w:firstLine="480" w:firstLineChars="200"/>
        <w:rPr>
          <w:sz w:val="24"/>
          <w:szCs w:val="24"/>
        </w:rPr>
      </w:pPr>
      <w:r>
        <w:rPr>
          <w:rFonts w:hint="eastAsia"/>
          <w:sz w:val="24"/>
          <w:szCs w:val="24"/>
        </w:rPr>
        <w:t>利废建材即“以废弃物为原料生产的建筑材料”，是指在满足安全和使用性能的前提下，使用废弃物等作为原材料生产出的建筑材料，其中废弃物主要包括建筑废弃物、工业废料和生活废弃物。在满足使用性能的前提下，鼓励利用建筑废弃混凝土，生产再生骨料，制作成混凝土砌块、水泥制品或配制再生混凝土；鼓励利用工业废料、农作物秸杆、建筑垃圾、淤泥为原料制作成水泥、混凝土、墙体材料、保温材料等建筑材料；鼓励以工业副产品石膏制作成石膏制品；鼓励使用生活废弃物经处理后制成的建筑材料。</w:t>
      </w:r>
    </w:p>
    <w:p>
      <w:pPr>
        <w:spacing w:line="360" w:lineRule="auto"/>
        <w:ind w:firstLine="480" w:firstLineChars="200"/>
        <w:rPr>
          <w:sz w:val="24"/>
          <w:szCs w:val="24"/>
        </w:rPr>
      </w:pPr>
      <w:r>
        <w:rPr>
          <w:rFonts w:hint="eastAsia"/>
          <w:sz w:val="24"/>
          <w:szCs w:val="24"/>
        </w:rPr>
        <w:t>为保证废弃物使用量达到一定比例，本条第2款对不同种类利废建材使用量进行了要求。若采用以废弃物为原料生产的建筑材料，应同时满足相应的国家或行业标准的要求。</w:t>
      </w:r>
    </w:p>
    <w:p>
      <w:pPr>
        <w:spacing w:line="360" w:lineRule="auto"/>
        <w:ind w:firstLine="480" w:firstLineChars="200"/>
        <w:rPr>
          <w:sz w:val="24"/>
          <w:szCs w:val="24"/>
        </w:rPr>
      </w:pPr>
      <w:r>
        <w:rPr>
          <w:rFonts w:hint="eastAsia"/>
          <w:sz w:val="24"/>
          <w:szCs w:val="24"/>
        </w:rPr>
        <w:t>本条的评价方法为：预评价查阅工程概预算材料清单、各类材料用量比例计算书、各种建筑材料的使用部位及使用量一览表；评价查阅工程决算材料清单、相关产品检测报告、各类材料用量比例计算书，利废建材中废弃物掺量说明及证明材料。</w:t>
      </w:r>
    </w:p>
    <w:p>
      <w:pPr>
        <w:spacing w:line="360" w:lineRule="auto"/>
        <w:rPr>
          <w:b/>
          <w:sz w:val="24"/>
          <w:szCs w:val="24"/>
        </w:rPr>
      </w:pPr>
      <w:r>
        <w:rPr>
          <w:rFonts w:hint="eastAsia"/>
          <w:b/>
          <w:sz w:val="24"/>
          <w:szCs w:val="24"/>
        </w:rPr>
        <w:t xml:space="preserve">7.2.18  </w:t>
      </w:r>
      <w:r>
        <w:rPr>
          <w:rFonts w:hint="eastAsia"/>
          <w:sz w:val="24"/>
          <w:szCs w:val="24"/>
        </w:rPr>
        <w:t>本条适用于各类民用建筑的预评价、评价。</w:t>
      </w:r>
    </w:p>
    <w:p>
      <w:pPr>
        <w:spacing w:line="360" w:lineRule="auto"/>
        <w:ind w:firstLine="480" w:firstLineChars="200"/>
        <w:rPr>
          <w:sz w:val="24"/>
          <w:szCs w:val="24"/>
        </w:rPr>
      </w:pPr>
      <w:r>
        <w:rPr>
          <w:rFonts w:hint="eastAsia"/>
          <w:sz w:val="24"/>
          <w:szCs w:val="24"/>
        </w:rPr>
        <w:t>本条为新增条文。为加快绿色建材推广应用，更好地支撑绿色建筑发展，依据住房城乡建设部、工业和信息化部出台的《绿色建材评价标识管理办法》、《促进绿色建材促进绿色建材生产和应用行动方案》等一系列文件。本条中绿色建材应用比例应根据下式计算，并按表3中确定得分。</w:t>
      </w:r>
    </w:p>
    <w:p>
      <w:pPr>
        <w:spacing w:line="360" w:lineRule="auto"/>
        <w:ind w:firstLine="422"/>
        <w:jc w:val="center"/>
        <w:rPr>
          <w:sz w:val="24"/>
          <w:szCs w:val="24"/>
        </w:rPr>
      </w:pPr>
      <w:r>
        <w:rPr>
          <w:sz w:val="24"/>
          <w:szCs w:val="24"/>
        </w:rPr>
        <w:t>P=（S1+S2+S3+S4）/100×100%       （</w:t>
      </w:r>
      <w:r>
        <w:rPr>
          <w:rFonts w:hint="eastAsia"/>
          <w:sz w:val="24"/>
          <w:szCs w:val="24"/>
        </w:rPr>
        <w:t>2</w:t>
      </w:r>
      <w:r>
        <w:rPr>
          <w:sz w:val="24"/>
          <w:szCs w:val="24"/>
        </w:rPr>
        <w:t>）</w:t>
      </w:r>
    </w:p>
    <w:p>
      <w:pPr>
        <w:spacing w:line="360" w:lineRule="auto"/>
        <w:rPr>
          <w:sz w:val="24"/>
          <w:szCs w:val="24"/>
        </w:rPr>
      </w:pPr>
      <w:r>
        <w:rPr>
          <w:sz w:val="24"/>
          <w:szCs w:val="24"/>
        </w:rPr>
        <w:t>式中：P—绿色建材应用比例；</w:t>
      </w:r>
    </w:p>
    <w:p>
      <w:pPr>
        <w:spacing w:line="360" w:lineRule="auto"/>
        <w:ind w:firstLine="720" w:firstLineChars="300"/>
        <w:rPr>
          <w:sz w:val="24"/>
          <w:szCs w:val="24"/>
        </w:rPr>
      </w:pPr>
      <w:r>
        <w:rPr>
          <w:sz w:val="24"/>
          <w:szCs w:val="24"/>
        </w:rPr>
        <w:t>S1—主体结构材料指标实际得分值；</w:t>
      </w:r>
    </w:p>
    <w:p>
      <w:pPr>
        <w:spacing w:line="360" w:lineRule="auto"/>
        <w:ind w:firstLine="720" w:firstLineChars="300"/>
        <w:rPr>
          <w:sz w:val="24"/>
          <w:szCs w:val="24"/>
        </w:rPr>
      </w:pPr>
      <w:r>
        <w:rPr>
          <w:sz w:val="24"/>
          <w:szCs w:val="24"/>
        </w:rPr>
        <w:t>S2—围护墙和内隔墙指标实际得分值；</w:t>
      </w:r>
    </w:p>
    <w:p>
      <w:pPr>
        <w:spacing w:line="360" w:lineRule="auto"/>
        <w:ind w:firstLine="720" w:firstLineChars="300"/>
        <w:rPr>
          <w:sz w:val="24"/>
          <w:szCs w:val="24"/>
        </w:rPr>
      </w:pPr>
      <w:r>
        <w:rPr>
          <w:sz w:val="24"/>
          <w:szCs w:val="24"/>
        </w:rPr>
        <w:t>S3—装修指标实际得分值；</w:t>
      </w:r>
    </w:p>
    <w:p>
      <w:pPr>
        <w:spacing w:line="360" w:lineRule="auto"/>
        <w:ind w:firstLine="720" w:firstLineChars="300"/>
        <w:rPr>
          <w:sz w:val="24"/>
          <w:szCs w:val="24"/>
        </w:rPr>
      </w:pPr>
      <w:r>
        <w:rPr>
          <w:sz w:val="24"/>
          <w:szCs w:val="24"/>
        </w:rPr>
        <w:t>S4—其他指标实际得分值。</w:t>
      </w:r>
    </w:p>
    <w:p>
      <w:pPr>
        <w:spacing w:line="300" w:lineRule="auto"/>
        <w:jc w:val="center"/>
        <w:rPr>
          <w:rFonts w:eastAsia="黑体"/>
          <w:b/>
          <w:sz w:val="22"/>
          <w:szCs w:val="24"/>
        </w:rPr>
      </w:pPr>
      <w:r>
        <w:rPr>
          <w:rFonts w:eastAsia="黑体"/>
          <w:b/>
          <w:sz w:val="22"/>
          <w:szCs w:val="24"/>
        </w:rPr>
        <w:t>表</w:t>
      </w:r>
      <w:r>
        <w:rPr>
          <w:rFonts w:hint="eastAsia" w:eastAsia="黑体"/>
          <w:b/>
          <w:sz w:val="22"/>
          <w:szCs w:val="24"/>
        </w:rPr>
        <w:t>3</w:t>
      </w:r>
      <w:r>
        <w:rPr>
          <w:rFonts w:eastAsia="黑体"/>
          <w:b/>
          <w:sz w:val="22"/>
          <w:szCs w:val="24"/>
        </w:rPr>
        <w:t xml:space="preserve"> 绿色建材使用比例计算表</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46"/>
        <w:gridCol w:w="3685"/>
        <w:gridCol w:w="2111"/>
        <w:gridCol w:w="1176"/>
        <w:gridCol w:w="11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5131"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sz w:val="24"/>
                <w:szCs w:val="24"/>
              </w:rPr>
            </w:pPr>
            <w:r>
              <w:rPr>
                <w:sz w:val="24"/>
                <w:szCs w:val="24"/>
              </w:rPr>
              <w:t>计算项</w:t>
            </w:r>
          </w:p>
        </w:tc>
        <w:tc>
          <w:tcPr>
            <w:tcW w:w="2111" w:type="dxa"/>
            <w:tcBorders>
              <w:top w:val="single" w:color="auto" w:sz="4" w:space="0"/>
              <w:left w:val="single" w:color="auto" w:sz="4" w:space="0"/>
              <w:bottom w:val="single" w:color="auto" w:sz="4" w:space="0"/>
              <w:right w:val="single" w:color="auto" w:sz="4" w:space="0"/>
            </w:tcBorders>
            <w:noWrap w:val="0"/>
            <w:vAlign w:val="center"/>
          </w:tcPr>
          <w:p>
            <w:pPr>
              <w:jc w:val="center"/>
              <w:rPr>
                <w:sz w:val="24"/>
                <w:szCs w:val="24"/>
              </w:rPr>
            </w:pPr>
            <w:r>
              <w:rPr>
                <w:sz w:val="24"/>
                <w:szCs w:val="24"/>
              </w:rPr>
              <w:t>计算要求</w:t>
            </w:r>
          </w:p>
        </w:tc>
        <w:tc>
          <w:tcPr>
            <w:tcW w:w="0" w:type="auto"/>
            <w:tcBorders>
              <w:top w:val="single" w:color="auto" w:sz="4" w:space="0"/>
              <w:left w:val="single" w:color="auto" w:sz="4" w:space="0"/>
              <w:bottom w:val="single" w:color="auto" w:sz="4" w:space="0"/>
              <w:right w:val="single" w:color="auto" w:sz="4" w:space="0"/>
            </w:tcBorders>
            <w:noWrap w:val="0"/>
            <w:vAlign w:val="center"/>
          </w:tcPr>
          <w:p>
            <w:pPr>
              <w:jc w:val="center"/>
              <w:rPr>
                <w:sz w:val="24"/>
                <w:szCs w:val="24"/>
              </w:rPr>
            </w:pPr>
            <w:r>
              <w:rPr>
                <w:sz w:val="24"/>
                <w:szCs w:val="24"/>
              </w:rPr>
              <w:t>计算单位</w:t>
            </w:r>
          </w:p>
        </w:tc>
        <w:tc>
          <w:tcPr>
            <w:tcW w:w="0" w:type="auto"/>
            <w:tcBorders>
              <w:top w:val="single" w:color="auto" w:sz="4" w:space="0"/>
              <w:left w:val="single" w:color="auto" w:sz="4" w:space="0"/>
              <w:bottom w:val="single" w:color="auto" w:sz="4" w:space="0"/>
              <w:right w:val="single" w:color="auto" w:sz="4" w:space="0"/>
            </w:tcBorders>
            <w:noWrap w:val="0"/>
            <w:vAlign w:val="center"/>
          </w:tcPr>
          <w:p>
            <w:pPr>
              <w:jc w:val="center"/>
              <w:rPr>
                <w:sz w:val="24"/>
                <w:szCs w:val="24"/>
              </w:rPr>
            </w:pPr>
            <w:r>
              <w:rPr>
                <w:sz w:val="24"/>
                <w:szCs w:val="24"/>
              </w:rPr>
              <w:t>计算得分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1446" w:type="dxa"/>
            <w:vMerge w:val="restart"/>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jc w:val="center"/>
              <w:rPr>
                <w:sz w:val="24"/>
                <w:szCs w:val="24"/>
              </w:rPr>
            </w:pPr>
            <w:r>
              <w:rPr>
                <w:sz w:val="24"/>
                <w:szCs w:val="24"/>
              </w:rPr>
              <w:t>主体结构</w:t>
            </w:r>
          </w:p>
        </w:tc>
        <w:tc>
          <w:tcPr>
            <w:tcW w:w="3685"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jc w:val="center"/>
              <w:rPr>
                <w:sz w:val="24"/>
                <w:szCs w:val="24"/>
              </w:rPr>
            </w:pPr>
            <w:r>
              <w:rPr>
                <w:sz w:val="24"/>
                <w:szCs w:val="24"/>
              </w:rPr>
              <w:t>预拌混凝土</w:t>
            </w:r>
          </w:p>
        </w:tc>
        <w:tc>
          <w:tcPr>
            <w:tcW w:w="2111"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jc w:val="center"/>
              <w:rPr>
                <w:sz w:val="24"/>
                <w:szCs w:val="24"/>
              </w:rPr>
            </w:pPr>
            <w:r>
              <w:rPr>
                <w:sz w:val="24"/>
                <w:szCs w:val="24"/>
              </w:rPr>
              <w:t>80%≤比例≤100%</w:t>
            </w:r>
          </w:p>
        </w:tc>
        <w:tc>
          <w:tcPr>
            <w:tcW w:w="0" w:type="auto"/>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ind w:firstLine="480" w:firstLineChars="200"/>
              <w:rPr>
                <w:sz w:val="24"/>
                <w:szCs w:val="24"/>
              </w:rPr>
            </w:pPr>
            <w:r>
              <w:rPr>
                <w:sz w:val="24"/>
                <w:szCs w:val="24"/>
              </w:rPr>
              <w:t>m³</w:t>
            </w:r>
          </w:p>
        </w:tc>
        <w:tc>
          <w:tcPr>
            <w:tcW w:w="0" w:type="auto"/>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jc w:val="center"/>
              <w:rPr>
                <w:sz w:val="24"/>
                <w:szCs w:val="24"/>
              </w:rPr>
            </w:pPr>
            <w:r>
              <w:rPr>
                <w:sz w:val="24"/>
                <w:szCs w:val="24"/>
              </w:rPr>
              <w:t>10～20﹡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1446" w:type="dxa"/>
            <w:vMerge w:val="continue"/>
            <w:tcBorders>
              <w:top w:val="single" w:color="auto" w:sz="4" w:space="0"/>
              <w:left w:val="single" w:color="auto" w:sz="4" w:space="0"/>
              <w:bottom w:val="single" w:color="auto" w:sz="4" w:space="0"/>
              <w:right w:val="single" w:color="auto" w:sz="4" w:space="0"/>
            </w:tcBorders>
            <w:noWrap w:val="0"/>
            <w:vAlign w:val="center"/>
          </w:tcPr>
          <w:p>
            <w:pPr>
              <w:ind w:firstLine="480" w:firstLineChars="200"/>
              <w:jc w:val="center"/>
              <w:rPr>
                <w:sz w:val="24"/>
                <w:szCs w:val="24"/>
              </w:rPr>
            </w:pPr>
          </w:p>
        </w:tc>
        <w:tc>
          <w:tcPr>
            <w:tcW w:w="3685"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jc w:val="center"/>
              <w:rPr>
                <w:sz w:val="24"/>
                <w:szCs w:val="24"/>
              </w:rPr>
            </w:pPr>
            <w:r>
              <w:rPr>
                <w:sz w:val="24"/>
                <w:szCs w:val="24"/>
              </w:rPr>
              <w:t>预拌砂浆</w:t>
            </w:r>
          </w:p>
        </w:tc>
        <w:tc>
          <w:tcPr>
            <w:tcW w:w="2111"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jc w:val="center"/>
              <w:rPr>
                <w:sz w:val="24"/>
                <w:szCs w:val="24"/>
              </w:rPr>
            </w:pPr>
            <w:r>
              <w:rPr>
                <w:sz w:val="24"/>
                <w:szCs w:val="24"/>
              </w:rPr>
              <w:t>50%≤比例≤100%</w:t>
            </w:r>
          </w:p>
        </w:tc>
        <w:tc>
          <w:tcPr>
            <w:tcW w:w="0" w:type="auto"/>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ind w:firstLine="480" w:firstLineChars="200"/>
              <w:rPr>
                <w:sz w:val="24"/>
                <w:szCs w:val="24"/>
              </w:rPr>
            </w:pPr>
            <w:r>
              <w:rPr>
                <w:sz w:val="24"/>
                <w:szCs w:val="24"/>
              </w:rPr>
              <w:t>m³</w:t>
            </w:r>
          </w:p>
        </w:tc>
        <w:tc>
          <w:tcPr>
            <w:tcW w:w="0" w:type="auto"/>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jc w:val="center"/>
              <w:rPr>
                <w:sz w:val="24"/>
                <w:szCs w:val="24"/>
              </w:rPr>
            </w:pPr>
            <w:r>
              <w:rPr>
                <w:sz w:val="24"/>
                <w:szCs w:val="24"/>
              </w:rPr>
              <w:t>5～10﹡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1446" w:type="dxa"/>
            <w:vMerge w:val="restart"/>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jc w:val="center"/>
              <w:rPr>
                <w:sz w:val="24"/>
                <w:szCs w:val="24"/>
              </w:rPr>
            </w:pPr>
            <w:r>
              <w:rPr>
                <w:sz w:val="24"/>
                <w:szCs w:val="24"/>
              </w:rPr>
              <w:t>围护墙和</w:t>
            </w:r>
          </w:p>
          <w:p>
            <w:pPr>
              <w:jc w:val="center"/>
              <w:rPr>
                <w:sz w:val="24"/>
                <w:szCs w:val="24"/>
              </w:rPr>
            </w:pPr>
            <w:r>
              <w:rPr>
                <w:sz w:val="24"/>
                <w:szCs w:val="24"/>
              </w:rPr>
              <w:t>内隔墙</w:t>
            </w:r>
          </w:p>
        </w:tc>
        <w:tc>
          <w:tcPr>
            <w:tcW w:w="3685"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jc w:val="center"/>
              <w:rPr>
                <w:sz w:val="24"/>
                <w:szCs w:val="24"/>
              </w:rPr>
            </w:pPr>
            <w:r>
              <w:rPr>
                <w:sz w:val="24"/>
                <w:szCs w:val="24"/>
              </w:rPr>
              <w:t>非承重围护墙</w:t>
            </w:r>
          </w:p>
        </w:tc>
        <w:tc>
          <w:tcPr>
            <w:tcW w:w="2111"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jc w:val="center"/>
              <w:rPr>
                <w:sz w:val="24"/>
                <w:szCs w:val="24"/>
              </w:rPr>
            </w:pPr>
            <w:r>
              <w:rPr>
                <w:sz w:val="24"/>
                <w:szCs w:val="24"/>
              </w:rPr>
              <w:t>比例≥80%</w:t>
            </w:r>
          </w:p>
        </w:tc>
        <w:tc>
          <w:tcPr>
            <w:tcW w:w="0" w:type="auto"/>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ind w:firstLine="480" w:firstLineChars="200"/>
              <w:rPr>
                <w:sz w:val="24"/>
                <w:szCs w:val="24"/>
              </w:rPr>
            </w:pPr>
            <w:r>
              <w:rPr>
                <w:sz w:val="24"/>
                <w:szCs w:val="24"/>
              </w:rPr>
              <w:t>m³</w:t>
            </w:r>
          </w:p>
        </w:tc>
        <w:tc>
          <w:tcPr>
            <w:tcW w:w="0" w:type="auto"/>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jc w:val="center"/>
              <w:rPr>
                <w:sz w:val="24"/>
                <w:szCs w:val="24"/>
              </w:rPr>
            </w:pPr>
            <w:r>
              <w:rPr>
                <w:sz w:val="24"/>
                <w:szCs w:val="24"/>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1446" w:type="dxa"/>
            <w:vMerge w:val="continue"/>
            <w:tcBorders>
              <w:top w:val="single" w:color="auto" w:sz="4" w:space="0"/>
              <w:left w:val="single" w:color="auto" w:sz="4" w:space="0"/>
              <w:bottom w:val="single" w:color="auto" w:sz="4" w:space="0"/>
              <w:right w:val="single" w:color="auto" w:sz="4" w:space="0"/>
            </w:tcBorders>
            <w:noWrap w:val="0"/>
            <w:vAlign w:val="center"/>
          </w:tcPr>
          <w:p>
            <w:pPr>
              <w:ind w:firstLine="480" w:firstLineChars="200"/>
              <w:jc w:val="center"/>
              <w:rPr>
                <w:sz w:val="24"/>
                <w:szCs w:val="24"/>
              </w:rPr>
            </w:pPr>
          </w:p>
        </w:tc>
        <w:tc>
          <w:tcPr>
            <w:tcW w:w="3685"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jc w:val="center"/>
              <w:rPr>
                <w:sz w:val="24"/>
                <w:szCs w:val="24"/>
              </w:rPr>
            </w:pPr>
            <w:r>
              <w:rPr>
                <w:sz w:val="24"/>
                <w:szCs w:val="24"/>
              </w:rPr>
              <w:t>内隔墙</w:t>
            </w:r>
          </w:p>
        </w:tc>
        <w:tc>
          <w:tcPr>
            <w:tcW w:w="2111"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jc w:val="center"/>
              <w:rPr>
                <w:sz w:val="24"/>
                <w:szCs w:val="24"/>
              </w:rPr>
            </w:pPr>
            <w:r>
              <w:rPr>
                <w:sz w:val="24"/>
                <w:szCs w:val="24"/>
              </w:rPr>
              <w:t>比例≥80%</w:t>
            </w:r>
          </w:p>
        </w:tc>
        <w:tc>
          <w:tcPr>
            <w:tcW w:w="0" w:type="auto"/>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ind w:firstLine="480" w:firstLineChars="200"/>
              <w:rPr>
                <w:sz w:val="24"/>
                <w:szCs w:val="24"/>
              </w:rPr>
            </w:pPr>
            <w:r>
              <w:rPr>
                <w:sz w:val="24"/>
                <w:szCs w:val="24"/>
              </w:rPr>
              <w:t>m³</w:t>
            </w:r>
          </w:p>
        </w:tc>
        <w:tc>
          <w:tcPr>
            <w:tcW w:w="0" w:type="auto"/>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jc w:val="center"/>
              <w:rPr>
                <w:sz w:val="24"/>
                <w:szCs w:val="24"/>
              </w:rPr>
            </w:pPr>
            <w:r>
              <w:rPr>
                <w:sz w:val="24"/>
                <w:szCs w:val="24"/>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1446" w:type="dxa"/>
            <w:vMerge w:val="restart"/>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jc w:val="center"/>
              <w:rPr>
                <w:sz w:val="24"/>
                <w:szCs w:val="24"/>
              </w:rPr>
            </w:pPr>
            <w:r>
              <w:rPr>
                <w:sz w:val="24"/>
                <w:szCs w:val="24"/>
              </w:rPr>
              <w:t>装修</w:t>
            </w:r>
          </w:p>
        </w:tc>
        <w:tc>
          <w:tcPr>
            <w:tcW w:w="3685"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jc w:val="center"/>
              <w:rPr>
                <w:sz w:val="24"/>
                <w:szCs w:val="24"/>
              </w:rPr>
            </w:pPr>
            <w:r>
              <w:rPr>
                <w:sz w:val="24"/>
                <w:szCs w:val="24"/>
              </w:rPr>
              <w:t>外墙装饰面层涂料、面砖、非玻璃</w:t>
            </w:r>
          </w:p>
          <w:p>
            <w:pPr>
              <w:jc w:val="center"/>
              <w:rPr>
                <w:sz w:val="24"/>
                <w:szCs w:val="24"/>
              </w:rPr>
            </w:pPr>
            <w:r>
              <w:rPr>
                <w:sz w:val="24"/>
                <w:szCs w:val="24"/>
              </w:rPr>
              <w:t>幕墙板等</w:t>
            </w:r>
          </w:p>
        </w:tc>
        <w:tc>
          <w:tcPr>
            <w:tcW w:w="2111"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jc w:val="center"/>
              <w:rPr>
                <w:sz w:val="24"/>
                <w:szCs w:val="24"/>
              </w:rPr>
            </w:pPr>
            <w:r>
              <w:rPr>
                <w:sz w:val="24"/>
                <w:szCs w:val="24"/>
              </w:rPr>
              <w:t>比例≥80%</w:t>
            </w:r>
          </w:p>
        </w:tc>
        <w:tc>
          <w:tcPr>
            <w:tcW w:w="0" w:type="auto"/>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ind w:firstLine="480" w:firstLineChars="200"/>
              <w:rPr>
                <w:sz w:val="24"/>
                <w:szCs w:val="24"/>
              </w:rPr>
            </w:pPr>
            <w:r>
              <w:rPr>
                <w:sz w:val="24"/>
                <w:szCs w:val="24"/>
              </w:rPr>
              <w:t>㎡</w:t>
            </w:r>
          </w:p>
        </w:tc>
        <w:tc>
          <w:tcPr>
            <w:tcW w:w="0" w:type="auto"/>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jc w:val="center"/>
              <w:rPr>
                <w:sz w:val="24"/>
                <w:szCs w:val="24"/>
              </w:rPr>
            </w:pPr>
            <w:r>
              <w:rPr>
                <w:sz w:val="24"/>
                <w:szCs w:val="24"/>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1446" w:type="dxa"/>
            <w:vMerge w:val="continue"/>
            <w:tcBorders>
              <w:top w:val="single" w:color="auto" w:sz="4" w:space="0"/>
              <w:left w:val="single" w:color="auto" w:sz="4" w:space="0"/>
              <w:bottom w:val="single" w:color="auto" w:sz="4" w:space="0"/>
              <w:right w:val="single" w:color="auto" w:sz="4" w:space="0"/>
            </w:tcBorders>
            <w:noWrap w:val="0"/>
            <w:vAlign w:val="center"/>
          </w:tcPr>
          <w:p>
            <w:pPr>
              <w:ind w:firstLine="480" w:firstLineChars="200"/>
              <w:jc w:val="center"/>
              <w:rPr>
                <w:sz w:val="24"/>
                <w:szCs w:val="24"/>
              </w:rPr>
            </w:pPr>
          </w:p>
        </w:tc>
        <w:tc>
          <w:tcPr>
            <w:tcW w:w="3685"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jc w:val="center"/>
              <w:rPr>
                <w:sz w:val="24"/>
                <w:szCs w:val="24"/>
              </w:rPr>
            </w:pPr>
            <w:r>
              <w:rPr>
                <w:sz w:val="24"/>
                <w:szCs w:val="24"/>
              </w:rPr>
              <w:t>内墙装饰面层涂料、面砖、壁纸等</w:t>
            </w:r>
          </w:p>
        </w:tc>
        <w:tc>
          <w:tcPr>
            <w:tcW w:w="2111"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jc w:val="center"/>
              <w:rPr>
                <w:sz w:val="24"/>
                <w:szCs w:val="24"/>
              </w:rPr>
            </w:pPr>
            <w:r>
              <w:rPr>
                <w:sz w:val="24"/>
                <w:szCs w:val="24"/>
              </w:rPr>
              <w:t>比例≥80%</w:t>
            </w:r>
          </w:p>
        </w:tc>
        <w:tc>
          <w:tcPr>
            <w:tcW w:w="0" w:type="auto"/>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ind w:firstLine="480" w:firstLineChars="200"/>
              <w:rPr>
                <w:sz w:val="24"/>
                <w:szCs w:val="24"/>
              </w:rPr>
            </w:pPr>
            <w:r>
              <w:rPr>
                <w:sz w:val="24"/>
                <w:szCs w:val="24"/>
              </w:rPr>
              <w:t>㎡</w:t>
            </w:r>
          </w:p>
        </w:tc>
        <w:tc>
          <w:tcPr>
            <w:tcW w:w="0" w:type="auto"/>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jc w:val="center"/>
              <w:rPr>
                <w:sz w:val="24"/>
                <w:szCs w:val="24"/>
              </w:rPr>
            </w:pPr>
            <w:r>
              <w:rPr>
                <w:sz w:val="24"/>
                <w:szCs w:val="24"/>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1446" w:type="dxa"/>
            <w:vMerge w:val="continue"/>
            <w:tcBorders>
              <w:top w:val="single" w:color="auto" w:sz="4" w:space="0"/>
              <w:left w:val="single" w:color="auto" w:sz="4" w:space="0"/>
              <w:bottom w:val="single" w:color="auto" w:sz="4" w:space="0"/>
              <w:right w:val="single" w:color="auto" w:sz="4" w:space="0"/>
            </w:tcBorders>
            <w:noWrap w:val="0"/>
            <w:vAlign w:val="center"/>
          </w:tcPr>
          <w:p>
            <w:pPr>
              <w:ind w:firstLine="480" w:firstLineChars="200"/>
              <w:jc w:val="center"/>
              <w:rPr>
                <w:sz w:val="24"/>
                <w:szCs w:val="24"/>
              </w:rPr>
            </w:pPr>
          </w:p>
        </w:tc>
        <w:tc>
          <w:tcPr>
            <w:tcW w:w="3685"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jc w:val="center"/>
              <w:rPr>
                <w:sz w:val="24"/>
                <w:szCs w:val="24"/>
              </w:rPr>
            </w:pPr>
            <w:r>
              <w:rPr>
                <w:sz w:val="24"/>
                <w:szCs w:val="24"/>
              </w:rPr>
              <w:t>室内顶棚装饰面层涂料、吊顶等</w:t>
            </w:r>
          </w:p>
        </w:tc>
        <w:tc>
          <w:tcPr>
            <w:tcW w:w="2111"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jc w:val="center"/>
              <w:rPr>
                <w:sz w:val="24"/>
                <w:szCs w:val="24"/>
              </w:rPr>
            </w:pPr>
            <w:r>
              <w:rPr>
                <w:sz w:val="24"/>
                <w:szCs w:val="24"/>
              </w:rPr>
              <w:t>比例≥80%</w:t>
            </w:r>
          </w:p>
        </w:tc>
        <w:tc>
          <w:tcPr>
            <w:tcW w:w="0" w:type="auto"/>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ind w:firstLine="480" w:firstLineChars="200"/>
              <w:rPr>
                <w:sz w:val="24"/>
                <w:szCs w:val="24"/>
              </w:rPr>
            </w:pPr>
            <w:r>
              <w:rPr>
                <w:sz w:val="24"/>
                <w:szCs w:val="24"/>
              </w:rPr>
              <w:t>㎡</w:t>
            </w:r>
          </w:p>
        </w:tc>
        <w:tc>
          <w:tcPr>
            <w:tcW w:w="0" w:type="auto"/>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jc w:val="center"/>
              <w:rPr>
                <w:sz w:val="24"/>
                <w:szCs w:val="24"/>
              </w:rPr>
            </w:pPr>
            <w:r>
              <w:rPr>
                <w:sz w:val="24"/>
                <w:szCs w:val="24"/>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1446" w:type="dxa"/>
            <w:vMerge w:val="continue"/>
            <w:tcBorders>
              <w:top w:val="single" w:color="auto" w:sz="4" w:space="0"/>
              <w:left w:val="single" w:color="auto" w:sz="4" w:space="0"/>
              <w:bottom w:val="single" w:color="auto" w:sz="4" w:space="0"/>
              <w:right w:val="single" w:color="auto" w:sz="4" w:space="0"/>
            </w:tcBorders>
            <w:noWrap w:val="0"/>
            <w:vAlign w:val="center"/>
          </w:tcPr>
          <w:p>
            <w:pPr>
              <w:ind w:firstLine="480" w:firstLineChars="200"/>
              <w:jc w:val="center"/>
              <w:rPr>
                <w:sz w:val="24"/>
                <w:szCs w:val="24"/>
              </w:rPr>
            </w:pPr>
          </w:p>
        </w:tc>
        <w:tc>
          <w:tcPr>
            <w:tcW w:w="3685"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jc w:val="center"/>
              <w:rPr>
                <w:sz w:val="24"/>
                <w:szCs w:val="24"/>
              </w:rPr>
            </w:pPr>
            <w:r>
              <w:rPr>
                <w:sz w:val="24"/>
                <w:szCs w:val="24"/>
              </w:rPr>
              <w:t>室内地面装饰面层木地板、面砖等</w:t>
            </w:r>
          </w:p>
        </w:tc>
        <w:tc>
          <w:tcPr>
            <w:tcW w:w="2111"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jc w:val="center"/>
              <w:rPr>
                <w:sz w:val="24"/>
                <w:szCs w:val="24"/>
              </w:rPr>
            </w:pPr>
            <w:r>
              <w:rPr>
                <w:sz w:val="24"/>
                <w:szCs w:val="24"/>
              </w:rPr>
              <w:t>比例≥80%</w:t>
            </w:r>
          </w:p>
        </w:tc>
        <w:tc>
          <w:tcPr>
            <w:tcW w:w="0" w:type="auto"/>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ind w:firstLine="480" w:firstLineChars="200"/>
              <w:rPr>
                <w:sz w:val="24"/>
                <w:szCs w:val="24"/>
              </w:rPr>
            </w:pPr>
            <w:r>
              <w:rPr>
                <w:sz w:val="24"/>
                <w:szCs w:val="24"/>
              </w:rPr>
              <w:t>㎡</w:t>
            </w:r>
          </w:p>
        </w:tc>
        <w:tc>
          <w:tcPr>
            <w:tcW w:w="0" w:type="auto"/>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jc w:val="center"/>
              <w:rPr>
                <w:sz w:val="24"/>
                <w:szCs w:val="24"/>
              </w:rPr>
            </w:pPr>
            <w:r>
              <w:rPr>
                <w:sz w:val="24"/>
                <w:szCs w:val="24"/>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1446" w:type="dxa"/>
            <w:vMerge w:val="continue"/>
            <w:tcBorders>
              <w:top w:val="single" w:color="auto" w:sz="4" w:space="0"/>
              <w:left w:val="single" w:color="auto" w:sz="4" w:space="0"/>
              <w:bottom w:val="single" w:color="auto" w:sz="4" w:space="0"/>
              <w:right w:val="single" w:color="auto" w:sz="4" w:space="0"/>
            </w:tcBorders>
            <w:noWrap w:val="0"/>
            <w:vAlign w:val="center"/>
          </w:tcPr>
          <w:p>
            <w:pPr>
              <w:ind w:firstLine="480" w:firstLineChars="200"/>
              <w:jc w:val="center"/>
              <w:rPr>
                <w:sz w:val="24"/>
                <w:szCs w:val="24"/>
              </w:rPr>
            </w:pPr>
          </w:p>
        </w:tc>
        <w:tc>
          <w:tcPr>
            <w:tcW w:w="3685"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jc w:val="center"/>
              <w:rPr>
                <w:sz w:val="24"/>
                <w:szCs w:val="24"/>
              </w:rPr>
            </w:pPr>
            <w:r>
              <w:rPr>
                <w:sz w:val="24"/>
                <w:szCs w:val="24"/>
              </w:rPr>
              <w:t>门窗、玻璃</w:t>
            </w:r>
          </w:p>
        </w:tc>
        <w:tc>
          <w:tcPr>
            <w:tcW w:w="2111"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jc w:val="center"/>
              <w:rPr>
                <w:sz w:val="24"/>
                <w:szCs w:val="24"/>
              </w:rPr>
            </w:pPr>
            <w:r>
              <w:rPr>
                <w:sz w:val="24"/>
                <w:szCs w:val="24"/>
              </w:rPr>
              <w:t>比例≥80%</w:t>
            </w:r>
          </w:p>
        </w:tc>
        <w:tc>
          <w:tcPr>
            <w:tcW w:w="0" w:type="auto"/>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ind w:firstLine="480" w:firstLineChars="200"/>
              <w:rPr>
                <w:sz w:val="24"/>
                <w:szCs w:val="24"/>
              </w:rPr>
            </w:pPr>
            <w:r>
              <w:rPr>
                <w:sz w:val="24"/>
                <w:szCs w:val="24"/>
              </w:rPr>
              <w:t>㎡</w:t>
            </w:r>
          </w:p>
        </w:tc>
        <w:tc>
          <w:tcPr>
            <w:tcW w:w="0" w:type="auto"/>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jc w:val="center"/>
              <w:rPr>
                <w:sz w:val="24"/>
                <w:szCs w:val="24"/>
              </w:rPr>
            </w:pPr>
            <w:r>
              <w:rPr>
                <w:sz w:val="24"/>
                <w:szCs w:val="24"/>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1446" w:type="dxa"/>
            <w:vMerge w:val="restart"/>
            <w:tcBorders>
              <w:top w:val="single" w:color="auto" w:sz="4" w:space="0"/>
              <w:left w:val="single" w:color="auto" w:sz="4" w:space="0"/>
              <w:right w:val="single" w:color="auto" w:sz="4" w:space="0"/>
            </w:tcBorders>
            <w:noWrap w:val="0"/>
            <w:tcMar>
              <w:top w:w="0" w:type="dxa"/>
              <w:left w:w="51" w:type="dxa"/>
              <w:bottom w:w="0" w:type="dxa"/>
              <w:right w:w="51" w:type="dxa"/>
            </w:tcMar>
            <w:vAlign w:val="center"/>
          </w:tcPr>
          <w:p>
            <w:pPr>
              <w:jc w:val="center"/>
              <w:rPr>
                <w:sz w:val="24"/>
                <w:szCs w:val="24"/>
              </w:rPr>
            </w:pPr>
            <w:r>
              <w:rPr>
                <w:sz w:val="24"/>
                <w:szCs w:val="24"/>
              </w:rPr>
              <w:t>其他</w:t>
            </w:r>
          </w:p>
        </w:tc>
        <w:tc>
          <w:tcPr>
            <w:tcW w:w="3685"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jc w:val="center"/>
              <w:rPr>
                <w:sz w:val="24"/>
                <w:szCs w:val="24"/>
              </w:rPr>
            </w:pPr>
            <w:r>
              <w:rPr>
                <w:sz w:val="24"/>
                <w:szCs w:val="24"/>
              </w:rPr>
              <w:t>保温材料</w:t>
            </w:r>
          </w:p>
        </w:tc>
        <w:tc>
          <w:tcPr>
            <w:tcW w:w="2111"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jc w:val="center"/>
              <w:rPr>
                <w:sz w:val="24"/>
                <w:szCs w:val="24"/>
              </w:rPr>
            </w:pPr>
            <w:r>
              <w:rPr>
                <w:sz w:val="24"/>
                <w:szCs w:val="24"/>
              </w:rPr>
              <w:t>比例≥80%</w:t>
            </w:r>
          </w:p>
        </w:tc>
        <w:tc>
          <w:tcPr>
            <w:tcW w:w="0" w:type="auto"/>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ind w:firstLine="480" w:firstLineChars="200"/>
              <w:rPr>
                <w:sz w:val="24"/>
                <w:szCs w:val="24"/>
              </w:rPr>
            </w:pPr>
            <w:r>
              <w:rPr>
                <w:sz w:val="24"/>
                <w:szCs w:val="24"/>
              </w:rPr>
              <w:t>㎡</w:t>
            </w:r>
          </w:p>
        </w:tc>
        <w:tc>
          <w:tcPr>
            <w:tcW w:w="0" w:type="auto"/>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jc w:val="center"/>
              <w:rPr>
                <w:sz w:val="24"/>
                <w:szCs w:val="24"/>
              </w:rPr>
            </w:pPr>
            <w:r>
              <w:rPr>
                <w:sz w:val="24"/>
                <w:szCs w:val="24"/>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1446" w:type="dxa"/>
            <w:vMerge w:val="continue"/>
            <w:tcBorders>
              <w:left w:val="single" w:color="auto" w:sz="4" w:space="0"/>
              <w:right w:val="single" w:color="auto" w:sz="4" w:space="0"/>
            </w:tcBorders>
            <w:noWrap w:val="0"/>
            <w:vAlign w:val="center"/>
          </w:tcPr>
          <w:p>
            <w:pPr>
              <w:ind w:firstLine="480" w:firstLineChars="200"/>
              <w:jc w:val="center"/>
              <w:rPr>
                <w:sz w:val="24"/>
                <w:szCs w:val="24"/>
              </w:rPr>
            </w:pPr>
          </w:p>
        </w:tc>
        <w:tc>
          <w:tcPr>
            <w:tcW w:w="3685"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jc w:val="center"/>
              <w:rPr>
                <w:sz w:val="24"/>
                <w:szCs w:val="24"/>
              </w:rPr>
            </w:pPr>
            <w:r>
              <w:rPr>
                <w:sz w:val="24"/>
                <w:szCs w:val="24"/>
              </w:rPr>
              <w:t>卫生洁具</w:t>
            </w:r>
          </w:p>
        </w:tc>
        <w:tc>
          <w:tcPr>
            <w:tcW w:w="2111"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jc w:val="center"/>
              <w:rPr>
                <w:sz w:val="24"/>
                <w:szCs w:val="24"/>
              </w:rPr>
            </w:pPr>
            <w:r>
              <w:rPr>
                <w:sz w:val="24"/>
                <w:szCs w:val="24"/>
              </w:rPr>
              <w:t>比例≥80%</w:t>
            </w:r>
          </w:p>
        </w:tc>
        <w:tc>
          <w:tcPr>
            <w:tcW w:w="0" w:type="auto"/>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ind w:firstLine="480" w:firstLineChars="200"/>
              <w:rPr>
                <w:sz w:val="24"/>
                <w:szCs w:val="24"/>
              </w:rPr>
            </w:pPr>
            <w:r>
              <w:rPr>
                <w:sz w:val="24"/>
                <w:szCs w:val="24"/>
              </w:rPr>
              <w:t>具</w:t>
            </w:r>
          </w:p>
        </w:tc>
        <w:tc>
          <w:tcPr>
            <w:tcW w:w="0" w:type="auto"/>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jc w:val="center"/>
              <w:rPr>
                <w:sz w:val="24"/>
                <w:szCs w:val="24"/>
              </w:rPr>
            </w:pPr>
            <w:r>
              <w:rPr>
                <w:sz w:val="24"/>
                <w:szCs w:val="24"/>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1446" w:type="dxa"/>
            <w:vMerge w:val="continue"/>
            <w:tcBorders>
              <w:left w:val="single" w:color="auto" w:sz="4" w:space="0"/>
              <w:right w:val="single" w:color="auto" w:sz="4" w:space="0"/>
            </w:tcBorders>
            <w:noWrap w:val="0"/>
            <w:vAlign w:val="center"/>
          </w:tcPr>
          <w:p>
            <w:pPr>
              <w:ind w:firstLine="480" w:firstLineChars="200"/>
              <w:jc w:val="center"/>
              <w:rPr>
                <w:sz w:val="24"/>
                <w:szCs w:val="24"/>
              </w:rPr>
            </w:pPr>
          </w:p>
        </w:tc>
        <w:tc>
          <w:tcPr>
            <w:tcW w:w="3685"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jc w:val="center"/>
              <w:rPr>
                <w:sz w:val="24"/>
                <w:szCs w:val="24"/>
              </w:rPr>
            </w:pPr>
            <w:r>
              <w:rPr>
                <w:sz w:val="24"/>
                <w:szCs w:val="24"/>
              </w:rPr>
              <w:t>防水材料</w:t>
            </w:r>
          </w:p>
        </w:tc>
        <w:tc>
          <w:tcPr>
            <w:tcW w:w="2111"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jc w:val="center"/>
              <w:rPr>
                <w:sz w:val="24"/>
                <w:szCs w:val="24"/>
              </w:rPr>
            </w:pPr>
            <w:r>
              <w:rPr>
                <w:sz w:val="24"/>
                <w:szCs w:val="24"/>
              </w:rPr>
              <w:t>比例≥80%</w:t>
            </w:r>
          </w:p>
        </w:tc>
        <w:tc>
          <w:tcPr>
            <w:tcW w:w="0" w:type="auto"/>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ind w:firstLine="480" w:firstLineChars="200"/>
              <w:rPr>
                <w:sz w:val="24"/>
                <w:szCs w:val="24"/>
              </w:rPr>
            </w:pPr>
            <w:r>
              <w:rPr>
                <w:sz w:val="24"/>
                <w:szCs w:val="24"/>
              </w:rPr>
              <w:t>㎡</w:t>
            </w:r>
          </w:p>
        </w:tc>
        <w:tc>
          <w:tcPr>
            <w:tcW w:w="0" w:type="auto"/>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jc w:val="center"/>
              <w:rPr>
                <w:sz w:val="24"/>
                <w:szCs w:val="24"/>
              </w:rPr>
            </w:pPr>
            <w:r>
              <w:rPr>
                <w:sz w:val="24"/>
                <w:szCs w:val="24"/>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1446" w:type="dxa"/>
            <w:vMerge w:val="continue"/>
            <w:tcBorders>
              <w:left w:val="single" w:color="auto" w:sz="4" w:space="0"/>
              <w:right w:val="single" w:color="auto" w:sz="4" w:space="0"/>
            </w:tcBorders>
            <w:noWrap w:val="0"/>
            <w:vAlign w:val="center"/>
          </w:tcPr>
          <w:p>
            <w:pPr>
              <w:ind w:firstLine="480" w:firstLineChars="200"/>
              <w:jc w:val="center"/>
              <w:rPr>
                <w:sz w:val="24"/>
                <w:szCs w:val="24"/>
              </w:rPr>
            </w:pPr>
          </w:p>
        </w:tc>
        <w:tc>
          <w:tcPr>
            <w:tcW w:w="3685"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jc w:val="center"/>
              <w:rPr>
                <w:sz w:val="24"/>
                <w:szCs w:val="24"/>
              </w:rPr>
            </w:pPr>
            <w:r>
              <w:rPr>
                <w:sz w:val="24"/>
                <w:szCs w:val="24"/>
              </w:rPr>
              <w:t>密封材料</w:t>
            </w:r>
          </w:p>
        </w:tc>
        <w:tc>
          <w:tcPr>
            <w:tcW w:w="2111"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jc w:val="center"/>
              <w:rPr>
                <w:sz w:val="24"/>
                <w:szCs w:val="24"/>
              </w:rPr>
            </w:pPr>
            <w:r>
              <w:rPr>
                <w:sz w:val="24"/>
                <w:szCs w:val="24"/>
              </w:rPr>
              <w:t>比例≥80%</w:t>
            </w:r>
          </w:p>
        </w:tc>
        <w:tc>
          <w:tcPr>
            <w:tcW w:w="0" w:type="auto"/>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ind w:firstLine="480" w:firstLineChars="200"/>
              <w:rPr>
                <w:sz w:val="24"/>
                <w:szCs w:val="24"/>
              </w:rPr>
            </w:pPr>
            <w:r>
              <w:rPr>
                <w:sz w:val="24"/>
                <w:szCs w:val="24"/>
              </w:rPr>
              <w:t>kg</w:t>
            </w:r>
          </w:p>
        </w:tc>
        <w:tc>
          <w:tcPr>
            <w:tcW w:w="0" w:type="auto"/>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jc w:val="center"/>
              <w:rPr>
                <w:sz w:val="24"/>
                <w:szCs w:val="24"/>
              </w:rPr>
            </w:pPr>
            <w:r>
              <w:rPr>
                <w:sz w:val="24"/>
                <w:szCs w:val="24"/>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1446" w:type="dxa"/>
            <w:vMerge w:val="continue"/>
            <w:tcBorders>
              <w:left w:val="single" w:color="auto" w:sz="4" w:space="0"/>
              <w:bottom w:val="single" w:color="auto" w:sz="4" w:space="0"/>
              <w:right w:val="single" w:color="auto" w:sz="4" w:space="0"/>
            </w:tcBorders>
            <w:noWrap w:val="0"/>
            <w:vAlign w:val="center"/>
          </w:tcPr>
          <w:p>
            <w:pPr>
              <w:ind w:firstLine="480" w:firstLineChars="200"/>
              <w:jc w:val="center"/>
              <w:rPr>
                <w:sz w:val="24"/>
                <w:szCs w:val="24"/>
              </w:rPr>
            </w:pPr>
          </w:p>
        </w:tc>
        <w:tc>
          <w:tcPr>
            <w:tcW w:w="3685"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jc w:val="center"/>
              <w:rPr>
                <w:sz w:val="24"/>
                <w:szCs w:val="24"/>
              </w:rPr>
            </w:pPr>
            <w:r>
              <w:rPr>
                <w:sz w:val="24"/>
                <w:szCs w:val="24"/>
              </w:rPr>
              <w:t>其他</w:t>
            </w:r>
          </w:p>
        </w:tc>
        <w:tc>
          <w:tcPr>
            <w:tcW w:w="2111"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jc w:val="center"/>
              <w:rPr>
                <w:sz w:val="24"/>
                <w:szCs w:val="24"/>
              </w:rPr>
            </w:pPr>
            <w:r>
              <w:rPr>
                <w:sz w:val="24"/>
                <w:szCs w:val="24"/>
              </w:rPr>
              <w:t>比例≥80%</w:t>
            </w:r>
          </w:p>
        </w:tc>
        <w:tc>
          <w:tcPr>
            <w:tcW w:w="0" w:type="auto"/>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ind w:firstLine="480" w:firstLineChars="200"/>
              <w:rPr>
                <w:sz w:val="24"/>
                <w:szCs w:val="24"/>
              </w:rPr>
            </w:pPr>
            <w:r>
              <w:rPr>
                <w:sz w:val="24"/>
                <w:szCs w:val="24"/>
              </w:rPr>
              <w:t>——</w:t>
            </w:r>
          </w:p>
        </w:tc>
        <w:tc>
          <w:tcPr>
            <w:tcW w:w="0" w:type="auto"/>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jc w:val="center"/>
              <w:rPr>
                <w:b/>
                <w:sz w:val="24"/>
                <w:szCs w:val="24"/>
              </w:rPr>
            </w:pPr>
            <w:r>
              <w:rPr>
                <w:b/>
                <w:sz w:val="24"/>
                <w:szCs w:val="24"/>
              </w:rPr>
              <w:t>5</w:t>
            </w:r>
          </w:p>
        </w:tc>
      </w:tr>
    </w:tbl>
    <w:p>
      <w:pPr>
        <w:spacing w:line="360" w:lineRule="auto"/>
        <w:rPr>
          <w:szCs w:val="21"/>
        </w:rPr>
      </w:pPr>
      <w:r>
        <w:rPr>
          <w:szCs w:val="21"/>
        </w:rPr>
        <w:t>注：1</w:t>
      </w:r>
      <w:r>
        <w:rPr>
          <w:rFonts w:hint="eastAsia"/>
          <w:szCs w:val="21"/>
        </w:rPr>
        <w:t xml:space="preserve">  </w:t>
      </w:r>
      <w:r>
        <w:rPr>
          <w:szCs w:val="21"/>
        </w:rPr>
        <w:t>表中带</w:t>
      </w:r>
      <w:r>
        <w:rPr>
          <w:rFonts w:hint="eastAsia"/>
          <w:szCs w:val="21"/>
        </w:rPr>
        <w:t>“</w:t>
      </w:r>
      <w:r>
        <w:rPr>
          <w:szCs w:val="21"/>
        </w:rPr>
        <w:t>﹡</w:t>
      </w:r>
      <w:r>
        <w:rPr>
          <w:rFonts w:hint="eastAsia"/>
          <w:szCs w:val="21"/>
        </w:rPr>
        <w:t>”</w:t>
      </w:r>
      <w:r>
        <w:rPr>
          <w:szCs w:val="21"/>
        </w:rPr>
        <w:t>项的分值采用</w:t>
      </w:r>
      <w:r>
        <w:rPr>
          <w:rFonts w:hint="eastAsia"/>
          <w:szCs w:val="21"/>
        </w:rPr>
        <w:t>“</w:t>
      </w:r>
      <w:r>
        <w:rPr>
          <w:szCs w:val="21"/>
        </w:rPr>
        <w:t>内插法</w:t>
      </w:r>
      <w:r>
        <w:rPr>
          <w:rFonts w:hint="eastAsia"/>
          <w:szCs w:val="21"/>
        </w:rPr>
        <w:t>”</w:t>
      </w:r>
      <w:r>
        <w:rPr>
          <w:szCs w:val="21"/>
        </w:rPr>
        <w:t>计算，计算结果取小数点后1位。</w:t>
      </w:r>
    </w:p>
    <w:p>
      <w:pPr>
        <w:spacing w:line="360" w:lineRule="auto"/>
        <w:ind w:firstLine="420" w:firstLineChars="200"/>
        <w:rPr>
          <w:szCs w:val="21"/>
        </w:rPr>
      </w:pPr>
      <w:r>
        <w:rPr>
          <w:szCs w:val="21"/>
        </w:rPr>
        <w:t>2</w:t>
      </w:r>
      <w:r>
        <w:rPr>
          <w:rFonts w:hint="eastAsia"/>
          <w:szCs w:val="21"/>
        </w:rPr>
        <w:t xml:space="preserve">  </w:t>
      </w:r>
      <w:r>
        <w:rPr>
          <w:szCs w:val="21"/>
        </w:rPr>
        <w:t>预拌混凝土应包含预制部品部件的混凝土用量；预拌砂浆应包含预制部品部件的砂浆用量；围护墙、内隔墙采用预制构件时，计入相应体积计算；结构保温装修等一体化构件分别计入相应的墙体、装修、保温、防水材料计算公式进行计算。</w:t>
      </w:r>
    </w:p>
    <w:p>
      <w:pPr>
        <w:spacing w:line="360" w:lineRule="auto"/>
        <w:ind w:firstLine="480" w:firstLineChars="200"/>
        <w:rPr>
          <w:sz w:val="24"/>
          <w:szCs w:val="24"/>
        </w:rPr>
      </w:pPr>
      <w:r>
        <w:rPr>
          <w:rFonts w:hint="eastAsia"/>
          <w:sz w:val="24"/>
          <w:szCs w:val="24"/>
        </w:rPr>
        <w:t>本条的评价方法为：预评价查阅相关设计文件、计算分析报告；评价查阅相关竣工图、计算分析报告、检测报告、工程决算材料清单、绿色建材标识证书、施工记录。</w:t>
      </w:r>
    </w:p>
    <w:p>
      <w:pPr>
        <w:spacing w:line="360" w:lineRule="auto"/>
        <w:jc w:val="center"/>
        <w:outlineLvl w:val="0"/>
        <w:rPr>
          <w:sz w:val="28"/>
          <w:szCs w:val="28"/>
        </w:rPr>
      </w:pPr>
      <w:r>
        <w:rPr>
          <w:sz w:val="24"/>
          <w:szCs w:val="24"/>
        </w:rPr>
        <w:br w:type="page"/>
      </w:r>
      <w:bookmarkStart w:id="137" w:name="_Toc24543019"/>
      <w:r>
        <w:rPr>
          <w:rFonts w:hint="eastAsia"/>
          <w:b/>
          <w:sz w:val="32"/>
          <w:szCs w:val="32"/>
        </w:rPr>
        <w:t>8  环 境 宜 居</w:t>
      </w:r>
      <w:bookmarkEnd w:id="137"/>
    </w:p>
    <w:p>
      <w:pPr>
        <w:pStyle w:val="18"/>
        <w:spacing w:beforeLines="0" w:line="360" w:lineRule="auto"/>
        <w:ind w:firstLine="0" w:firstLineChars="0"/>
      </w:pPr>
      <w:bookmarkStart w:id="138" w:name="_Toc24543020"/>
      <w:r>
        <w:rPr>
          <w:rFonts w:hint="eastAsia"/>
        </w:rPr>
        <w:t>8.1  控 制 项</w:t>
      </w:r>
      <w:bookmarkEnd w:id="138"/>
    </w:p>
    <w:p>
      <w:pPr>
        <w:spacing w:line="360" w:lineRule="auto"/>
        <w:jc w:val="left"/>
        <w:rPr>
          <w:sz w:val="24"/>
          <w:szCs w:val="24"/>
        </w:rPr>
      </w:pPr>
      <w:r>
        <w:rPr>
          <w:rFonts w:hint="eastAsia"/>
          <w:b/>
          <w:sz w:val="24"/>
          <w:szCs w:val="24"/>
        </w:rPr>
        <w:t>8.1.1</w:t>
      </w:r>
      <w:r>
        <w:rPr>
          <w:rFonts w:hint="eastAsia"/>
          <w:sz w:val="24"/>
          <w:szCs w:val="24"/>
        </w:rPr>
        <w:t xml:space="preserve">  本条适用于各类民用建筑的预评价、评价。</w:t>
      </w:r>
    </w:p>
    <w:p>
      <w:pPr>
        <w:spacing w:line="360" w:lineRule="auto"/>
        <w:ind w:firstLine="480" w:firstLineChars="200"/>
        <w:jc w:val="left"/>
        <w:rPr>
          <w:sz w:val="24"/>
          <w:szCs w:val="24"/>
        </w:rPr>
      </w:pPr>
      <w:r>
        <w:rPr>
          <w:rFonts w:hint="eastAsia"/>
          <w:sz w:val="24"/>
          <w:szCs w:val="24"/>
        </w:rPr>
        <w:t>本条沿用本标准2016年版第4.1.4条。建筑室内的环境质量与日照密切相关。</w:t>
      </w:r>
    </w:p>
    <w:p>
      <w:pPr>
        <w:spacing w:line="360" w:lineRule="auto"/>
        <w:ind w:firstLine="480" w:firstLineChars="200"/>
        <w:jc w:val="left"/>
        <w:rPr>
          <w:sz w:val="24"/>
          <w:szCs w:val="24"/>
        </w:rPr>
      </w:pPr>
      <w:r>
        <w:rPr>
          <w:rFonts w:hint="eastAsia"/>
          <w:sz w:val="24"/>
          <w:szCs w:val="24"/>
        </w:rPr>
        <w:t>我国对住宅建筑以及幼儿园、医院、疗养院等公共建筑都有日照的要求，相关标准包括现行国家标准《城市居住区规划设计标准》GB50180、《中小学校设计规范》GB50099等以及现行行业标准《托儿所、幼儿园建筑设计规范》JGJ39等。建筑的布局与设计时需要充分考虑上述标准要求，若没有相应标准要求，符合城乡规划的要求即为达标。采用日照的模拟分析时，应执行现行国家标准《建筑日照计算参数标准》GB/T50947中的相关规定。</w:t>
      </w:r>
    </w:p>
    <w:p>
      <w:pPr>
        <w:spacing w:line="360" w:lineRule="auto"/>
        <w:ind w:firstLine="480" w:firstLineChars="200"/>
        <w:jc w:val="left"/>
        <w:rPr>
          <w:sz w:val="24"/>
          <w:szCs w:val="24"/>
        </w:rPr>
      </w:pPr>
      <w:r>
        <w:rPr>
          <w:rFonts w:hint="eastAsia"/>
          <w:sz w:val="24"/>
          <w:szCs w:val="24"/>
        </w:rPr>
        <w:t>除满足日照和热环境相关标准要求外，本条要求建筑布局还应兼顾周边，减少对相邻的住宅、幼儿园生活用房等有日照标准要求的建筑产生不利的日照遮挡。条文中的“不得降低周边建筑的日照标准”是指：①对于新建项目的建设，应满足周边建筑有关日照标准的要求。②对于改造项目分两种情况：周边建筑改造前满足日照标准的，应保证其改造后仍符合相关日照标准的要求；周边建筑改造前未满足日照标准的，改造后不可再降低其原有的日照水平。</w:t>
      </w:r>
    </w:p>
    <w:p>
      <w:pPr>
        <w:spacing w:line="360" w:lineRule="auto"/>
        <w:ind w:firstLine="480" w:firstLineChars="200"/>
        <w:jc w:val="left"/>
        <w:rPr>
          <w:sz w:val="24"/>
          <w:szCs w:val="24"/>
        </w:rPr>
      </w:pPr>
      <w:r>
        <w:rPr>
          <w:rFonts w:hint="eastAsia"/>
          <w:sz w:val="24"/>
          <w:szCs w:val="24"/>
        </w:rPr>
        <w:t>对于周边建筑，现行标准对其日照标准有最化要求的，可以通过模拟计算报告来判定达标；对于周边的非住宅建筑，若现行设计标准对其日照标准没有量化的要求，则可以不进行日照的模拟计算，只要其满足控制性详规即可判定达标。</w:t>
      </w:r>
    </w:p>
    <w:p>
      <w:pPr>
        <w:spacing w:line="360" w:lineRule="auto"/>
        <w:ind w:firstLine="480" w:firstLineChars="200"/>
        <w:jc w:val="left"/>
        <w:rPr>
          <w:sz w:val="24"/>
          <w:szCs w:val="24"/>
        </w:rPr>
      </w:pPr>
      <w:r>
        <w:rPr>
          <w:rFonts w:hint="eastAsia"/>
          <w:sz w:val="24"/>
          <w:szCs w:val="24"/>
        </w:rPr>
        <w:t>本条的评价方法为：预评价查阅相关设计文件、日照分析报告；评价查阅相关竣工图、日照分析报告。</w:t>
      </w:r>
    </w:p>
    <w:p>
      <w:pPr>
        <w:spacing w:line="360" w:lineRule="auto"/>
        <w:jc w:val="left"/>
        <w:rPr>
          <w:sz w:val="24"/>
          <w:szCs w:val="24"/>
        </w:rPr>
      </w:pPr>
      <w:r>
        <w:rPr>
          <w:rFonts w:hint="eastAsia"/>
          <w:b/>
          <w:sz w:val="24"/>
          <w:szCs w:val="24"/>
        </w:rPr>
        <w:t>8.1.2</w:t>
      </w:r>
      <w:r>
        <w:rPr>
          <w:rFonts w:hint="eastAsia"/>
          <w:sz w:val="24"/>
          <w:szCs w:val="24"/>
        </w:rPr>
        <w:t xml:space="preserve">  本条适用于各类民用建筑的预评价、评价。</w:t>
      </w:r>
    </w:p>
    <w:p>
      <w:pPr>
        <w:spacing w:line="360" w:lineRule="auto"/>
        <w:ind w:firstLine="480" w:firstLineChars="200"/>
        <w:jc w:val="left"/>
        <w:rPr>
          <w:sz w:val="24"/>
          <w:szCs w:val="24"/>
        </w:rPr>
      </w:pPr>
      <w:r>
        <w:rPr>
          <w:rFonts w:hint="eastAsia"/>
          <w:sz w:val="24"/>
          <w:szCs w:val="24"/>
        </w:rPr>
        <w:t>本条为新增条文。建筑环境质量与场地热环境密切相关，热环境直接影响人们户外活动的热安全性和热舒适度。</w:t>
      </w:r>
    </w:p>
    <w:p>
      <w:pPr>
        <w:spacing w:line="360" w:lineRule="auto"/>
        <w:ind w:firstLine="480" w:firstLineChars="200"/>
        <w:jc w:val="left"/>
        <w:rPr>
          <w:sz w:val="24"/>
          <w:szCs w:val="24"/>
        </w:rPr>
      </w:pPr>
      <w:r>
        <w:rPr>
          <w:rFonts w:hint="eastAsia"/>
          <w:sz w:val="24"/>
          <w:szCs w:val="24"/>
        </w:rPr>
        <w:t>现行行业标准《城市居住区热环境设计标准》JGJ286对居住区详细规划阶段的热环境设计进行了规定，给出了设计方法、指标、参数。项目规划设计时，应充分考虑场地内热环境的舒适度，采取有效措施改善场地通风不良、遮阳不足、绿量不够、渗透不强的一系列的问题，降低热岛强度，提高环境舒适度。本条要求项目按现行行业标准《城市居住区热环境设计标准》JGJ286进行热环境设计。城市居住区是指城市中住宅建筑相对集中布局的地区，简称居住区。如项目处于非居住区规划范围内，符合其城乡规划的要求即为达标。</w:t>
      </w:r>
    </w:p>
    <w:p>
      <w:pPr>
        <w:spacing w:line="360" w:lineRule="auto"/>
        <w:ind w:firstLine="480" w:firstLineChars="200"/>
        <w:jc w:val="left"/>
        <w:rPr>
          <w:sz w:val="24"/>
          <w:szCs w:val="24"/>
        </w:rPr>
      </w:pPr>
      <w:r>
        <w:rPr>
          <w:rFonts w:hint="eastAsia"/>
          <w:sz w:val="24"/>
          <w:szCs w:val="24"/>
        </w:rPr>
        <w:t>本条的评价方法为：预评价查阅相关设计文件、场地热环境计算报告；评价查阅相关竣工图、场地热环境计算报告。</w:t>
      </w:r>
    </w:p>
    <w:p>
      <w:pPr>
        <w:spacing w:line="360" w:lineRule="auto"/>
        <w:jc w:val="left"/>
        <w:rPr>
          <w:sz w:val="24"/>
          <w:szCs w:val="24"/>
        </w:rPr>
      </w:pPr>
      <w:r>
        <w:rPr>
          <w:rFonts w:hint="eastAsia"/>
          <w:b/>
          <w:sz w:val="24"/>
          <w:szCs w:val="24"/>
        </w:rPr>
        <w:t>8.1.3</w:t>
      </w:r>
      <w:r>
        <w:rPr>
          <w:rFonts w:hint="eastAsia"/>
          <w:sz w:val="24"/>
          <w:szCs w:val="24"/>
        </w:rPr>
        <w:t xml:space="preserve">  本条适用于各类民用建筑的预评价、评价。</w:t>
      </w:r>
    </w:p>
    <w:p>
      <w:pPr>
        <w:spacing w:line="360" w:lineRule="auto"/>
        <w:ind w:firstLine="480" w:firstLineChars="200"/>
        <w:jc w:val="left"/>
        <w:rPr>
          <w:sz w:val="24"/>
          <w:szCs w:val="24"/>
        </w:rPr>
      </w:pPr>
      <w:r>
        <w:rPr>
          <w:rFonts w:hint="eastAsia"/>
          <w:sz w:val="24"/>
          <w:szCs w:val="24"/>
        </w:rPr>
        <w:t>本条在本标准2016年版第4.2.15条的基础上发展而来。绿化是城市环境建设的重要内容。本条规定要根据居住人口规模等因素提出配建绿地的控制要求。大面积的草坪不但维护费用昂贵，其生态效益也远远小于灌木、乔木。因此，合理搭配乔木、灌木和草坪，以乔木为主，能够提高绿地的空间利用率、增加绿量，使有限的绿地发挥更大的生态效益和景观效益。乔、灌、草组合配置，就是以乔木为主，灌木填补林下空间，地面栽花种草的种植模式，垂直面上形成乔、灌、草空间互补和重叠的效果。根据植物的不同特性（如高矮、冠幅大小、光及空间需求等）差异而取长补短，相互兼容，进行立体多层次种植，以求在单位面积内充分利用土地、阳光、空间、水分、养分而达到最大生长量的栽培方式。</w:t>
      </w:r>
    </w:p>
    <w:p>
      <w:pPr>
        <w:spacing w:line="360" w:lineRule="auto"/>
        <w:ind w:firstLine="480" w:firstLineChars="200"/>
        <w:jc w:val="left"/>
        <w:rPr>
          <w:rFonts w:hint="eastAsia"/>
          <w:sz w:val="24"/>
          <w:szCs w:val="24"/>
        </w:rPr>
      </w:pPr>
      <w:r>
        <w:rPr>
          <w:rFonts w:hint="eastAsia"/>
          <w:sz w:val="24"/>
          <w:szCs w:val="24"/>
        </w:rPr>
        <w:t>植物配置应充分体现本地区植物资源的特点，突出地方特色。因此在苗木的选择上，要保证绿植无毒无害，保证绿化环境安全和健康。合理的植物物种选择和搭配会对绿地植被的生长起到促进作用。种植区域的覆土深度应满足乔、灌、草自然生长的需要，一般来说，满足植物生长需求的覆土深度为：乔木大于1.2m,深根系乔木大于1.5m,灌木大于0.5m,草坪大于0.3m。种植区域的覆土深度应满足申报项目所在地园林主管部门对覆土深度的要求。鼓励各类公共建筑进行屋顶绿化和墙面垂直绿化，既能增加绿化面积，又可以改善屋顶和墙壁的保温隔热效果，还可有效滞留雨水。广西常见乡土植物见表8</w:t>
      </w:r>
      <w:r>
        <w:rPr>
          <w:sz w:val="24"/>
          <w:szCs w:val="24"/>
        </w:rPr>
        <w:t>.</w:t>
      </w:r>
      <w:r>
        <w:rPr>
          <w:rFonts w:hint="eastAsia"/>
          <w:sz w:val="24"/>
          <w:szCs w:val="24"/>
        </w:rPr>
        <w:t>1</w:t>
      </w:r>
      <w:r>
        <w:rPr>
          <w:sz w:val="24"/>
          <w:szCs w:val="24"/>
        </w:rPr>
        <w:t>.</w:t>
      </w:r>
      <w:r>
        <w:rPr>
          <w:rFonts w:hint="eastAsia"/>
          <w:sz w:val="24"/>
          <w:szCs w:val="24"/>
        </w:rPr>
        <w:t>3</w:t>
      </w:r>
      <w:r>
        <w:rPr>
          <w:sz w:val="24"/>
          <w:szCs w:val="24"/>
        </w:rPr>
        <w:t>-1</w:t>
      </w:r>
      <w:r>
        <w:rPr>
          <w:rFonts w:hint="eastAsia"/>
          <w:sz w:val="24"/>
          <w:szCs w:val="24"/>
        </w:rPr>
        <w:t>、</w:t>
      </w:r>
      <w:r>
        <w:rPr>
          <w:sz w:val="24"/>
          <w:szCs w:val="24"/>
        </w:rPr>
        <w:t>2</w:t>
      </w:r>
      <w:r>
        <w:rPr>
          <w:rFonts w:hint="eastAsia"/>
          <w:sz w:val="24"/>
          <w:szCs w:val="24"/>
        </w:rPr>
        <w:t>、</w:t>
      </w:r>
      <w:r>
        <w:rPr>
          <w:sz w:val="24"/>
          <w:szCs w:val="24"/>
        </w:rPr>
        <w:t>3</w:t>
      </w:r>
      <w:r>
        <w:rPr>
          <w:rFonts w:hint="eastAsia"/>
          <w:sz w:val="24"/>
          <w:szCs w:val="24"/>
        </w:rPr>
        <w:t>。</w:t>
      </w:r>
    </w:p>
    <w:p>
      <w:pPr>
        <w:pStyle w:val="23"/>
        <w:ind w:firstLine="422" w:firstLineChars="200"/>
        <w:jc w:val="center"/>
        <w:rPr>
          <w:rFonts w:eastAsia="黑体" w:cs="Times New Roman"/>
          <w:color w:val="auto"/>
          <w:sz w:val="21"/>
          <w:szCs w:val="21"/>
        </w:rPr>
      </w:pPr>
      <w:r>
        <w:rPr>
          <w:rFonts w:hint="eastAsia" w:eastAsia="黑体" w:cs="Times New Roman"/>
          <w:b/>
          <w:color w:val="auto"/>
          <w:sz w:val="21"/>
          <w:szCs w:val="21"/>
        </w:rPr>
        <w:t>表8.1.3</w:t>
      </w:r>
      <w:r>
        <w:rPr>
          <w:rFonts w:eastAsia="黑体" w:cs="Times New Roman"/>
          <w:b/>
          <w:color w:val="auto"/>
          <w:sz w:val="21"/>
          <w:szCs w:val="21"/>
        </w:rPr>
        <w:t>-1</w:t>
      </w:r>
      <w:r>
        <w:rPr>
          <w:rFonts w:hint="eastAsia" w:eastAsia="黑体" w:cs="Times New Roman"/>
          <w:b/>
          <w:color w:val="auto"/>
          <w:sz w:val="21"/>
          <w:szCs w:val="21"/>
        </w:rPr>
        <w:t>广西常见乡土植物（桂北地区：桂林）</w:t>
      </w:r>
    </w:p>
    <w:tbl>
      <w:tblPr>
        <w:tblStyle w:val="1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29"/>
        <w:gridCol w:w="83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cantSplit/>
          <w:trHeight w:val="794" w:hRule="atLeast"/>
          <w:jc w:val="center"/>
        </w:trPr>
        <w:tc>
          <w:tcPr>
            <w:tcW w:w="729" w:type="pct"/>
            <w:tcBorders>
              <w:top w:val="single" w:color="auto" w:sz="4" w:space="0"/>
              <w:left w:val="single" w:color="auto" w:sz="4" w:space="0"/>
              <w:bottom w:val="single" w:color="auto" w:sz="4" w:space="0"/>
              <w:right w:val="single" w:color="auto" w:sz="4" w:space="0"/>
            </w:tcBorders>
            <w:noWrap w:val="0"/>
            <w:vAlign w:val="center"/>
          </w:tcPr>
          <w:p>
            <w:pPr>
              <w:pStyle w:val="10"/>
              <w:spacing w:before="0" w:beforeAutospacing="0" w:after="0" w:afterAutospacing="0"/>
              <w:jc w:val="center"/>
              <w:rPr>
                <w:rFonts w:ascii="Times New Roman" w:hAnsi="Times New Roman" w:cs="Times New Roman"/>
                <w:sz w:val="21"/>
                <w:szCs w:val="21"/>
              </w:rPr>
            </w:pPr>
            <w:r>
              <w:rPr>
                <w:rStyle w:val="14"/>
                <w:rFonts w:hint="eastAsia" w:ascii="Times New Roman" w:hAnsi="Times New Roman" w:cs="Times New Roman"/>
                <w:bCs/>
                <w:sz w:val="21"/>
                <w:szCs w:val="21"/>
              </w:rPr>
              <w:t>常绿乔木</w:t>
            </w:r>
          </w:p>
        </w:tc>
        <w:tc>
          <w:tcPr>
            <w:tcW w:w="4271" w:type="pct"/>
            <w:tcBorders>
              <w:top w:val="single" w:color="auto" w:sz="4" w:space="0"/>
              <w:left w:val="single" w:color="auto" w:sz="4" w:space="0"/>
              <w:bottom w:val="single" w:color="auto" w:sz="4" w:space="0"/>
              <w:right w:val="single" w:color="auto" w:sz="4" w:space="0"/>
            </w:tcBorders>
            <w:noWrap w:val="0"/>
            <w:vAlign w:val="center"/>
          </w:tcPr>
          <w:p>
            <w:pPr>
              <w:pStyle w:val="27"/>
              <w:spacing w:line="240" w:lineRule="auto"/>
              <w:ind w:firstLine="0" w:firstLineChars="0"/>
              <w:rPr>
                <w:sz w:val="21"/>
                <w:szCs w:val="21"/>
              </w:rPr>
            </w:pPr>
            <w:r>
              <w:rPr>
                <w:rFonts w:hint="eastAsia"/>
                <w:sz w:val="21"/>
                <w:szCs w:val="21"/>
              </w:rPr>
              <w:t>黑松、马尾松、五针松、赤松、湿地松、雪松、白皮松、罗汉松、北美圆柏、桧柏、龙柏、侧柏、柳杉、红豆杉、女贞、广玉兰、木莲、香樟、杜英、红楠、紫楠、石楠、青冈栎、乐昌含笑、深山含笑、木荷、火力楠、冬青、珊瑚树、蚊母、、枇杷、杨梅、柚子树、桂花、大叶榕、小叶榕、银叶金合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cantSplit/>
          <w:trHeight w:val="794" w:hRule="atLeast"/>
          <w:jc w:val="center"/>
        </w:trPr>
        <w:tc>
          <w:tcPr>
            <w:tcW w:w="729" w:type="pct"/>
            <w:tcBorders>
              <w:top w:val="single" w:color="auto" w:sz="4" w:space="0"/>
              <w:left w:val="single" w:color="auto" w:sz="4" w:space="0"/>
              <w:bottom w:val="single" w:color="auto" w:sz="4" w:space="0"/>
              <w:right w:val="single" w:color="auto" w:sz="4" w:space="0"/>
            </w:tcBorders>
            <w:noWrap w:val="0"/>
            <w:vAlign w:val="center"/>
          </w:tcPr>
          <w:p>
            <w:pPr>
              <w:pStyle w:val="10"/>
              <w:spacing w:before="0" w:beforeAutospacing="0" w:after="0" w:afterAutospacing="0"/>
              <w:jc w:val="center"/>
              <w:rPr>
                <w:rFonts w:ascii="Times New Roman" w:hAnsi="Times New Roman" w:cs="Times New Roman"/>
                <w:sz w:val="21"/>
                <w:szCs w:val="21"/>
              </w:rPr>
            </w:pPr>
            <w:r>
              <w:rPr>
                <w:rStyle w:val="14"/>
                <w:rFonts w:hint="eastAsia" w:ascii="Times New Roman" w:hAnsi="Times New Roman" w:cs="Times New Roman"/>
                <w:bCs/>
                <w:sz w:val="21"/>
                <w:szCs w:val="21"/>
              </w:rPr>
              <w:t>落叶乔木</w:t>
            </w:r>
          </w:p>
        </w:tc>
        <w:tc>
          <w:tcPr>
            <w:tcW w:w="4271" w:type="pct"/>
            <w:tcBorders>
              <w:top w:val="single" w:color="auto" w:sz="4" w:space="0"/>
              <w:left w:val="single" w:color="auto" w:sz="4" w:space="0"/>
              <w:bottom w:val="single" w:color="auto" w:sz="4" w:space="0"/>
              <w:right w:val="single" w:color="auto" w:sz="4" w:space="0"/>
            </w:tcBorders>
            <w:noWrap w:val="0"/>
            <w:vAlign w:val="center"/>
          </w:tcPr>
          <w:p>
            <w:pPr>
              <w:pStyle w:val="10"/>
              <w:spacing w:before="0" w:beforeAutospacing="0" w:after="0" w:afterAutospacing="0"/>
              <w:jc w:val="both"/>
              <w:rPr>
                <w:rFonts w:ascii="Times New Roman" w:hAnsi="Times New Roman" w:cs="Times New Roman"/>
                <w:sz w:val="21"/>
                <w:szCs w:val="21"/>
              </w:rPr>
            </w:pPr>
            <w:r>
              <w:rPr>
                <w:rFonts w:hint="eastAsia" w:ascii="Times New Roman" w:hAnsi="Times New Roman" w:cs="Times New Roman"/>
                <w:sz w:val="21"/>
                <w:szCs w:val="21"/>
              </w:rPr>
              <w:t>水杉、池杉、落羽杉、银杏、鹅掌楸、山核桃、麻栎、乌桕、枫香、枫杨、无患子、黄连木、八角枫、三角枫、苦楝、榔榆、朴树、青桐、皂荚、枳椇、国槐、刺槐、龙爪槐、杜仲、喜树、悬铃木、重阳木、臭椿、垂柳、无花果、桑树、油柿、红枫、紫叶李、鸡爪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cantSplit/>
          <w:trHeight w:val="794" w:hRule="atLeast"/>
          <w:jc w:val="center"/>
        </w:trPr>
        <w:tc>
          <w:tcPr>
            <w:tcW w:w="729" w:type="pct"/>
            <w:tcBorders>
              <w:top w:val="single" w:color="auto" w:sz="4" w:space="0"/>
              <w:left w:val="single" w:color="auto" w:sz="4" w:space="0"/>
              <w:bottom w:val="single" w:color="auto" w:sz="4" w:space="0"/>
              <w:right w:val="single" w:color="auto" w:sz="4" w:space="0"/>
            </w:tcBorders>
            <w:noWrap w:val="0"/>
            <w:vAlign w:val="center"/>
          </w:tcPr>
          <w:p>
            <w:pPr>
              <w:pStyle w:val="10"/>
              <w:spacing w:before="0" w:beforeAutospacing="0" w:after="0" w:afterAutospacing="0"/>
              <w:jc w:val="center"/>
              <w:rPr>
                <w:rFonts w:ascii="Times New Roman" w:hAnsi="Times New Roman" w:cs="Times New Roman"/>
                <w:sz w:val="21"/>
                <w:szCs w:val="21"/>
              </w:rPr>
            </w:pPr>
            <w:r>
              <w:rPr>
                <w:rStyle w:val="14"/>
                <w:rFonts w:hint="eastAsia" w:ascii="Times New Roman" w:hAnsi="Times New Roman" w:cs="Times New Roman"/>
                <w:bCs/>
                <w:sz w:val="21"/>
                <w:szCs w:val="21"/>
              </w:rPr>
              <w:t>大花乔木</w:t>
            </w:r>
          </w:p>
        </w:tc>
        <w:tc>
          <w:tcPr>
            <w:tcW w:w="4271" w:type="pct"/>
            <w:tcBorders>
              <w:top w:val="single" w:color="auto" w:sz="4" w:space="0"/>
              <w:left w:val="single" w:color="auto" w:sz="4" w:space="0"/>
              <w:bottom w:val="single" w:color="auto" w:sz="4" w:space="0"/>
              <w:right w:val="single" w:color="auto" w:sz="4" w:space="0"/>
            </w:tcBorders>
            <w:noWrap w:val="0"/>
            <w:vAlign w:val="center"/>
          </w:tcPr>
          <w:p>
            <w:pPr>
              <w:pStyle w:val="10"/>
              <w:spacing w:before="0" w:beforeAutospacing="0" w:after="0" w:afterAutospacing="0"/>
              <w:jc w:val="both"/>
              <w:rPr>
                <w:rFonts w:ascii="Times New Roman" w:hAnsi="Times New Roman" w:cs="Times New Roman"/>
                <w:sz w:val="21"/>
                <w:szCs w:val="21"/>
              </w:rPr>
            </w:pPr>
            <w:r>
              <w:rPr>
                <w:rFonts w:hint="eastAsia" w:ascii="Times New Roman" w:hAnsi="Times New Roman" w:cs="Times New Roman"/>
                <w:sz w:val="21"/>
                <w:szCs w:val="21"/>
              </w:rPr>
              <w:t>合欢、白玉兰、二乔玉兰、紫玉兰、白兰、海棠、日本晚樱、碧桃、栾树、紫花泡桐、梨花、红花木莲、广玉兰、李树、紫荆、石榴、梅花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cantSplit/>
          <w:trHeight w:val="794" w:hRule="atLeast"/>
          <w:jc w:val="center"/>
        </w:trPr>
        <w:tc>
          <w:tcPr>
            <w:tcW w:w="729" w:type="pct"/>
            <w:tcBorders>
              <w:top w:val="single" w:color="auto" w:sz="4" w:space="0"/>
              <w:left w:val="single" w:color="auto" w:sz="4" w:space="0"/>
              <w:bottom w:val="single" w:color="auto" w:sz="4" w:space="0"/>
              <w:right w:val="single" w:color="auto" w:sz="4" w:space="0"/>
            </w:tcBorders>
            <w:noWrap w:val="0"/>
            <w:vAlign w:val="center"/>
          </w:tcPr>
          <w:p>
            <w:pPr>
              <w:pStyle w:val="10"/>
              <w:spacing w:before="0" w:beforeAutospacing="0" w:after="0" w:afterAutospacing="0"/>
              <w:jc w:val="center"/>
              <w:rPr>
                <w:rFonts w:ascii="Times New Roman" w:hAnsi="Times New Roman" w:cs="Times New Roman"/>
                <w:sz w:val="21"/>
                <w:szCs w:val="21"/>
              </w:rPr>
            </w:pPr>
            <w:r>
              <w:rPr>
                <w:rStyle w:val="14"/>
                <w:rFonts w:hint="eastAsia" w:ascii="Times New Roman" w:hAnsi="Times New Roman" w:cs="Times New Roman"/>
                <w:bCs/>
                <w:sz w:val="21"/>
                <w:szCs w:val="21"/>
              </w:rPr>
              <w:t>棕榈类</w:t>
            </w:r>
          </w:p>
        </w:tc>
        <w:tc>
          <w:tcPr>
            <w:tcW w:w="4271" w:type="pct"/>
            <w:tcBorders>
              <w:top w:val="single" w:color="auto" w:sz="4" w:space="0"/>
              <w:left w:val="single" w:color="auto" w:sz="4" w:space="0"/>
              <w:bottom w:val="single" w:color="auto" w:sz="4" w:space="0"/>
              <w:right w:val="single" w:color="auto" w:sz="4" w:space="0"/>
            </w:tcBorders>
            <w:noWrap w:val="0"/>
            <w:vAlign w:val="center"/>
          </w:tcPr>
          <w:p>
            <w:pPr>
              <w:pStyle w:val="10"/>
              <w:spacing w:before="0" w:beforeAutospacing="0" w:after="0" w:afterAutospacing="0"/>
              <w:jc w:val="both"/>
              <w:rPr>
                <w:rFonts w:ascii="Times New Roman" w:hAnsi="Times New Roman" w:cs="Times New Roman"/>
                <w:sz w:val="21"/>
                <w:szCs w:val="21"/>
              </w:rPr>
            </w:pPr>
            <w:r>
              <w:rPr>
                <w:rFonts w:hint="eastAsia" w:ascii="Times New Roman" w:hAnsi="Times New Roman" w:cs="Times New Roman"/>
                <w:sz w:val="21"/>
                <w:szCs w:val="21"/>
              </w:rPr>
              <w:t>棕榈、棕竹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cantSplit/>
          <w:trHeight w:val="794" w:hRule="atLeast"/>
          <w:jc w:val="center"/>
        </w:trPr>
        <w:tc>
          <w:tcPr>
            <w:tcW w:w="729" w:type="pct"/>
            <w:tcBorders>
              <w:top w:val="single" w:color="auto" w:sz="4" w:space="0"/>
              <w:left w:val="single" w:color="auto" w:sz="4" w:space="0"/>
              <w:bottom w:val="single" w:color="auto" w:sz="4" w:space="0"/>
              <w:right w:val="single" w:color="auto" w:sz="4" w:space="0"/>
            </w:tcBorders>
            <w:noWrap w:val="0"/>
            <w:vAlign w:val="center"/>
          </w:tcPr>
          <w:p>
            <w:pPr>
              <w:pStyle w:val="10"/>
              <w:spacing w:before="0" w:beforeAutospacing="0" w:after="0" w:afterAutospacing="0"/>
              <w:jc w:val="center"/>
              <w:rPr>
                <w:rFonts w:ascii="Times New Roman" w:hAnsi="Times New Roman" w:cs="Times New Roman"/>
                <w:sz w:val="21"/>
                <w:szCs w:val="21"/>
              </w:rPr>
            </w:pPr>
            <w:r>
              <w:rPr>
                <w:rStyle w:val="14"/>
                <w:rFonts w:hint="eastAsia" w:ascii="Times New Roman" w:hAnsi="Times New Roman" w:cs="Times New Roman"/>
                <w:bCs/>
                <w:sz w:val="21"/>
                <w:szCs w:val="21"/>
              </w:rPr>
              <w:t>竹类</w:t>
            </w:r>
          </w:p>
        </w:tc>
        <w:tc>
          <w:tcPr>
            <w:tcW w:w="4271" w:type="pct"/>
            <w:tcBorders>
              <w:top w:val="single" w:color="auto" w:sz="4" w:space="0"/>
              <w:left w:val="single" w:color="auto" w:sz="4" w:space="0"/>
              <w:bottom w:val="single" w:color="auto" w:sz="4" w:space="0"/>
              <w:right w:val="single" w:color="auto" w:sz="4" w:space="0"/>
            </w:tcBorders>
            <w:noWrap w:val="0"/>
            <w:vAlign w:val="center"/>
          </w:tcPr>
          <w:p>
            <w:pPr>
              <w:pStyle w:val="10"/>
              <w:spacing w:before="0" w:beforeAutospacing="0" w:after="0" w:afterAutospacing="0"/>
              <w:jc w:val="both"/>
              <w:rPr>
                <w:rFonts w:ascii="Times New Roman" w:hAnsi="Times New Roman" w:cs="Times New Roman"/>
                <w:sz w:val="21"/>
                <w:szCs w:val="21"/>
              </w:rPr>
            </w:pPr>
            <w:r>
              <w:rPr>
                <w:rFonts w:hint="eastAsia" w:ascii="Times New Roman" w:hAnsi="Times New Roman" w:cs="Times New Roman"/>
                <w:sz w:val="21"/>
                <w:szCs w:val="21"/>
              </w:rPr>
              <w:t>孝顺竹、苦竹、箬竹、毛竹、菲白竹、桂竹、凤尾竹、慈竹、罗汉竹、斑竹、刚竹、淡竹、龟甲竹、紫竹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cantSplit/>
          <w:trHeight w:val="794" w:hRule="atLeast"/>
          <w:jc w:val="center"/>
        </w:trPr>
        <w:tc>
          <w:tcPr>
            <w:tcW w:w="729" w:type="pct"/>
            <w:tcBorders>
              <w:top w:val="single" w:color="auto" w:sz="4" w:space="0"/>
              <w:left w:val="single" w:color="auto" w:sz="4" w:space="0"/>
              <w:bottom w:val="single" w:color="auto" w:sz="4" w:space="0"/>
              <w:right w:val="single" w:color="auto" w:sz="4" w:space="0"/>
            </w:tcBorders>
            <w:noWrap w:val="0"/>
            <w:vAlign w:val="center"/>
          </w:tcPr>
          <w:p>
            <w:pPr>
              <w:pStyle w:val="10"/>
              <w:spacing w:before="0" w:beforeAutospacing="0" w:after="0" w:afterAutospacing="0"/>
              <w:jc w:val="center"/>
              <w:rPr>
                <w:rFonts w:ascii="Times New Roman" w:hAnsi="Times New Roman" w:cs="Times New Roman"/>
                <w:sz w:val="21"/>
                <w:szCs w:val="21"/>
              </w:rPr>
            </w:pPr>
            <w:r>
              <w:rPr>
                <w:rStyle w:val="14"/>
                <w:rFonts w:hint="eastAsia" w:ascii="Times New Roman" w:hAnsi="Times New Roman" w:cs="Times New Roman"/>
                <w:bCs/>
                <w:sz w:val="21"/>
                <w:szCs w:val="21"/>
              </w:rPr>
              <w:t>观叶灌木</w:t>
            </w:r>
          </w:p>
        </w:tc>
        <w:tc>
          <w:tcPr>
            <w:tcW w:w="4271" w:type="pct"/>
            <w:tcBorders>
              <w:top w:val="single" w:color="auto" w:sz="4" w:space="0"/>
              <w:left w:val="single" w:color="auto" w:sz="4" w:space="0"/>
              <w:bottom w:val="single" w:color="auto" w:sz="4" w:space="0"/>
              <w:right w:val="single" w:color="auto" w:sz="4" w:space="0"/>
            </w:tcBorders>
            <w:noWrap w:val="0"/>
            <w:vAlign w:val="center"/>
          </w:tcPr>
          <w:p>
            <w:pPr>
              <w:pStyle w:val="10"/>
              <w:spacing w:before="0" w:beforeAutospacing="0" w:after="0" w:afterAutospacing="0"/>
              <w:jc w:val="both"/>
              <w:rPr>
                <w:rFonts w:ascii="Times New Roman" w:hAnsi="Times New Roman" w:cs="Times New Roman"/>
                <w:sz w:val="21"/>
                <w:szCs w:val="21"/>
              </w:rPr>
            </w:pPr>
            <w:r>
              <w:rPr>
                <w:rFonts w:hint="eastAsia" w:ascii="Times New Roman" w:hAnsi="Times New Roman" w:cs="Times New Roman"/>
                <w:sz w:val="21"/>
                <w:szCs w:val="21"/>
              </w:rPr>
              <w:t>红花继木、小叶女贞、大叶黄杨、紫叶小檗、八角金盘、枸骨、海桐、南天竹、铺地柏、鹿角柏、十大功劳、阔叶十大功劳、大叶黄杨、桃叶珊瑚、洒金珊瑚、金叶女贞、尖叶木樨榄、花叶假连翘、苏铁、火棘、水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cantSplit/>
          <w:trHeight w:val="794" w:hRule="atLeast"/>
          <w:jc w:val="center"/>
        </w:trPr>
        <w:tc>
          <w:tcPr>
            <w:tcW w:w="729" w:type="pct"/>
            <w:tcBorders>
              <w:top w:val="single" w:color="auto" w:sz="4" w:space="0"/>
              <w:left w:val="single" w:color="auto" w:sz="4" w:space="0"/>
              <w:bottom w:val="single" w:color="auto" w:sz="4" w:space="0"/>
              <w:right w:val="single" w:color="auto" w:sz="4" w:space="0"/>
            </w:tcBorders>
            <w:noWrap w:val="0"/>
            <w:vAlign w:val="center"/>
          </w:tcPr>
          <w:p>
            <w:pPr>
              <w:pStyle w:val="10"/>
              <w:spacing w:before="0" w:beforeAutospacing="0" w:after="0" w:afterAutospacing="0"/>
              <w:jc w:val="center"/>
              <w:rPr>
                <w:rFonts w:ascii="Times New Roman" w:hAnsi="Times New Roman" w:cs="Times New Roman"/>
                <w:sz w:val="21"/>
                <w:szCs w:val="21"/>
              </w:rPr>
            </w:pPr>
            <w:r>
              <w:rPr>
                <w:rStyle w:val="14"/>
                <w:rFonts w:hint="eastAsia" w:ascii="Times New Roman" w:hAnsi="Times New Roman" w:cs="Times New Roman"/>
                <w:bCs/>
                <w:sz w:val="21"/>
                <w:szCs w:val="21"/>
              </w:rPr>
              <w:t>观花灌木</w:t>
            </w:r>
          </w:p>
        </w:tc>
        <w:tc>
          <w:tcPr>
            <w:tcW w:w="4271" w:type="pct"/>
            <w:tcBorders>
              <w:top w:val="single" w:color="auto" w:sz="4" w:space="0"/>
              <w:left w:val="single" w:color="auto" w:sz="4" w:space="0"/>
              <w:bottom w:val="single" w:color="auto" w:sz="4" w:space="0"/>
              <w:right w:val="single" w:color="auto" w:sz="4" w:space="0"/>
            </w:tcBorders>
            <w:noWrap w:val="0"/>
            <w:vAlign w:val="center"/>
          </w:tcPr>
          <w:p>
            <w:pPr>
              <w:pStyle w:val="10"/>
              <w:spacing w:before="0" w:beforeAutospacing="0" w:after="0" w:afterAutospacing="0"/>
              <w:jc w:val="both"/>
              <w:rPr>
                <w:rFonts w:ascii="Times New Roman" w:hAnsi="Times New Roman" w:cs="Times New Roman"/>
                <w:sz w:val="21"/>
                <w:szCs w:val="21"/>
              </w:rPr>
            </w:pPr>
            <w:r>
              <w:rPr>
                <w:rFonts w:hint="eastAsia" w:ascii="Times New Roman" w:hAnsi="Times New Roman" w:cs="Times New Roman"/>
                <w:sz w:val="21"/>
                <w:szCs w:val="21"/>
              </w:rPr>
              <w:t>木芙蓉、木槿、毛杜鹃、毛白杜鹃、木本绣球、硬骨凌霄、小叶紫薇、栀子花、山茶、红花油茶、含笑、云南黄馨、金丝桃、腊梅、夹竹桃、垂丝海棠、贴梗海棠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cantSplit/>
          <w:trHeight w:val="794" w:hRule="atLeast"/>
          <w:jc w:val="center"/>
        </w:trPr>
        <w:tc>
          <w:tcPr>
            <w:tcW w:w="729" w:type="pct"/>
            <w:tcBorders>
              <w:top w:val="single" w:color="auto" w:sz="4" w:space="0"/>
              <w:left w:val="single" w:color="auto" w:sz="4" w:space="0"/>
              <w:bottom w:val="single" w:color="auto" w:sz="4" w:space="0"/>
              <w:right w:val="single" w:color="auto" w:sz="4" w:space="0"/>
            </w:tcBorders>
            <w:noWrap w:val="0"/>
            <w:vAlign w:val="center"/>
          </w:tcPr>
          <w:p>
            <w:pPr>
              <w:pStyle w:val="10"/>
              <w:jc w:val="center"/>
              <w:rPr>
                <w:rFonts w:ascii="Times New Roman" w:hAnsi="Times New Roman" w:cs="Times New Roman"/>
                <w:sz w:val="21"/>
                <w:szCs w:val="21"/>
              </w:rPr>
            </w:pPr>
            <w:r>
              <w:rPr>
                <w:rStyle w:val="14"/>
                <w:rFonts w:hint="eastAsia" w:ascii="Times New Roman" w:hAnsi="Times New Roman" w:cs="Times New Roman"/>
                <w:bCs/>
                <w:sz w:val="21"/>
                <w:szCs w:val="21"/>
              </w:rPr>
              <w:t>地被</w:t>
            </w:r>
          </w:p>
        </w:tc>
        <w:tc>
          <w:tcPr>
            <w:tcW w:w="4271" w:type="pct"/>
            <w:tcBorders>
              <w:top w:val="single" w:color="auto" w:sz="4" w:space="0"/>
              <w:left w:val="single" w:color="auto" w:sz="4" w:space="0"/>
              <w:bottom w:val="single" w:color="auto" w:sz="4" w:space="0"/>
              <w:right w:val="single" w:color="auto" w:sz="4" w:space="0"/>
            </w:tcBorders>
            <w:noWrap w:val="0"/>
            <w:vAlign w:val="center"/>
          </w:tcPr>
          <w:p>
            <w:pPr>
              <w:pStyle w:val="10"/>
              <w:spacing w:before="0" w:beforeAutospacing="0" w:after="0" w:afterAutospacing="0"/>
              <w:jc w:val="both"/>
              <w:rPr>
                <w:rFonts w:ascii="Times New Roman" w:hAnsi="Times New Roman" w:cs="Times New Roman"/>
                <w:sz w:val="21"/>
                <w:szCs w:val="21"/>
              </w:rPr>
            </w:pPr>
            <w:r>
              <w:rPr>
                <w:rFonts w:hint="eastAsia" w:ascii="Times New Roman" w:hAnsi="Times New Roman" w:cs="Times New Roman"/>
                <w:sz w:val="21"/>
                <w:szCs w:val="21"/>
              </w:rPr>
              <w:t>合果芋、一叶兰、鸢尾、美人蕉、葱兰、花叶冷水花、翠云草、花叶蔓长春花、韭兰、射干、大无风草、红花酢浆草、二月兰、马蹄金、肾蕨、冷水花、麦冬、玉龙草、狗牙根、马尼拉草、沿阶草、彩叶草、旱伞草、玉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cantSplit/>
          <w:trHeight w:val="794" w:hRule="atLeast"/>
          <w:jc w:val="center"/>
        </w:trPr>
        <w:tc>
          <w:tcPr>
            <w:tcW w:w="729" w:type="pct"/>
            <w:tcBorders>
              <w:top w:val="single" w:color="auto" w:sz="4" w:space="0"/>
              <w:left w:val="single" w:color="auto" w:sz="4" w:space="0"/>
              <w:bottom w:val="single" w:color="auto" w:sz="4" w:space="0"/>
              <w:right w:val="single" w:color="auto" w:sz="4" w:space="0"/>
            </w:tcBorders>
            <w:noWrap w:val="0"/>
            <w:vAlign w:val="center"/>
          </w:tcPr>
          <w:p>
            <w:pPr>
              <w:pStyle w:val="10"/>
              <w:jc w:val="center"/>
              <w:rPr>
                <w:rFonts w:ascii="Times New Roman" w:hAnsi="Times New Roman" w:cs="Times New Roman"/>
                <w:sz w:val="21"/>
                <w:szCs w:val="21"/>
              </w:rPr>
            </w:pPr>
            <w:r>
              <w:rPr>
                <w:rStyle w:val="14"/>
                <w:rFonts w:hint="eastAsia" w:ascii="Times New Roman" w:hAnsi="Times New Roman" w:cs="Times New Roman"/>
                <w:bCs/>
                <w:sz w:val="21"/>
                <w:szCs w:val="21"/>
              </w:rPr>
              <w:t>藤本</w:t>
            </w:r>
          </w:p>
        </w:tc>
        <w:tc>
          <w:tcPr>
            <w:tcW w:w="4271" w:type="pct"/>
            <w:tcBorders>
              <w:top w:val="single" w:color="auto" w:sz="4" w:space="0"/>
              <w:left w:val="single" w:color="auto" w:sz="4" w:space="0"/>
              <w:bottom w:val="single" w:color="auto" w:sz="4" w:space="0"/>
              <w:right w:val="single" w:color="auto" w:sz="4" w:space="0"/>
            </w:tcBorders>
            <w:noWrap w:val="0"/>
            <w:vAlign w:val="center"/>
          </w:tcPr>
          <w:p>
            <w:pPr>
              <w:pStyle w:val="10"/>
              <w:spacing w:before="0" w:beforeAutospacing="0" w:after="0" w:afterAutospacing="0"/>
              <w:jc w:val="both"/>
              <w:rPr>
                <w:rFonts w:ascii="Times New Roman" w:hAnsi="Times New Roman" w:cs="Times New Roman"/>
                <w:sz w:val="21"/>
                <w:szCs w:val="21"/>
              </w:rPr>
            </w:pPr>
            <w:r>
              <w:rPr>
                <w:rFonts w:hint="eastAsia" w:ascii="Times New Roman" w:hAnsi="Times New Roman" w:cs="Times New Roman"/>
                <w:sz w:val="21"/>
                <w:szCs w:val="21"/>
              </w:rPr>
              <w:t>紫藤、络石、薜荔、爬山虎、地锦、藤本月季、中华常春藤、洋常春藤、长春油麻藤、牵牛花、金银花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cantSplit/>
          <w:trHeight w:val="794" w:hRule="atLeast"/>
          <w:jc w:val="center"/>
        </w:trPr>
        <w:tc>
          <w:tcPr>
            <w:tcW w:w="729" w:type="pct"/>
            <w:tcBorders>
              <w:top w:val="single" w:color="auto" w:sz="4" w:space="0"/>
              <w:left w:val="single" w:color="auto" w:sz="4" w:space="0"/>
              <w:bottom w:val="single" w:color="auto" w:sz="4" w:space="0"/>
              <w:right w:val="single" w:color="auto" w:sz="4" w:space="0"/>
            </w:tcBorders>
            <w:noWrap w:val="0"/>
            <w:vAlign w:val="center"/>
          </w:tcPr>
          <w:p>
            <w:pPr>
              <w:pStyle w:val="10"/>
              <w:spacing w:before="0" w:beforeAutospacing="0" w:after="0" w:afterAutospacing="0"/>
              <w:jc w:val="center"/>
              <w:rPr>
                <w:rFonts w:ascii="Times New Roman" w:hAnsi="Times New Roman" w:cs="Times New Roman"/>
                <w:sz w:val="21"/>
                <w:szCs w:val="21"/>
              </w:rPr>
            </w:pPr>
            <w:r>
              <w:rPr>
                <w:rStyle w:val="14"/>
                <w:rFonts w:hint="eastAsia" w:ascii="Times New Roman" w:hAnsi="Times New Roman" w:cs="Times New Roman"/>
                <w:bCs/>
                <w:sz w:val="21"/>
                <w:szCs w:val="21"/>
              </w:rPr>
              <w:t>时花</w:t>
            </w:r>
          </w:p>
        </w:tc>
        <w:tc>
          <w:tcPr>
            <w:tcW w:w="4271" w:type="pct"/>
            <w:tcBorders>
              <w:top w:val="single" w:color="auto" w:sz="4" w:space="0"/>
              <w:left w:val="single" w:color="auto" w:sz="4" w:space="0"/>
              <w:bottom w:val="single" w:color="auto" w:sz="4" w:space="0"/>
              <w:right w:val="single" w:color="auto" w:sz="4" w:space="0"/>
            </w:tcBorders>
            <w:noWrap w:val="0"/>
            <w:vAlign w:val="center"/>
          </w:tcPr>
          <w:p>
            <w:pPr>
              <w:pStyle w:val="10"/>
              <w:spacing w:before="0" w:beforeAutospacing="0" w:after="0" w:afterAutospacing="0"/>
              <w:jc w:val="both"/>
              <w:rPr>
                <w:rFonts w:ascii="Times New Roman" w:hAnsi="Times New Roman" w:cs="Times New Roman"/>
                <w:sz w:val="21"/>
                <w:szCs w:val="21"/>
              </w:rPr>
            </w:pPr>
            <w:r>
              <w:rPr>
                <w:rFonts w:hint="eastAsia" w:ascii="Times New Roman" w:hAnsi="Times New Roman" w:cs="Times New Roman"/>
                <w:sz w:val="21"/>
                <w:szCs w:val="21"/>
              </w:rPr>
              <w:t>非洲凤仙花、四季秋海棠、一串红、矮牵牛、杂交石竹、羽衣甘蓝、孔雀草、万寿菊、旱金莲、三色堇、千日红、百日草、松叶牡丹、瓜叶菊、鸡冠花、菊花</w:t>
            </w:r>
          </w:p>
        </w:tc>
      </w:tr>
    </w:tbl>
    <w:p>
      <w:pPr>
        <w:pStyle w:val="23"/>
        <w:ind w:firstLine="422" w:firstLineChars="200"/>
        <w:jc w:val="center"/>
        <w:rPr>
          <w:rFonts w:cs="Times New Roman"/>
          <w:b/>
          <w:color w:val="auto"/>
          <w:sz w:val="21"/>
          <w:szCs w:val="21"/>
        </w:rPr>
      </w:pPr>
    </w:p>
    <w:p>
      <w:pPr>
        <w:pStyle w:val="23"/>
        <w:ind w:firstLine="422" w:firstLineChars="200"/>
        <w:jc w:val="center"/>
        <w:rPr>
          <w:rFonts w:eastAsia="黑体" w:cs="Times New Roman"/>
          <w:color w:val="auto"/>
          <w:sz w:val="21"/>
          <w:szCs w:val="21"/>
        </w:rPr>
      </w:pPr>
      <w:r>
        <w:rPr>
          <w:rFonts w:hint="eastAsia" w:eastAsia="黑体" w:cs="Times New Roman"/>
          <w:b/>
          <w:color w:val="auto"/>
          <w:sz w:val="21"/>
          <w:szCs w:val="21"/>
        </w:rPr>
        <w:t>表8.1.3</w:t>
      </w:r>
      <w:r>
        <w:rPr>
          <w:rFonts w:eastAsia="黑体" w:cs="Times New Roman"/>
          <w:b/>
          <w:color w:val="auto"/>
          <w:sz w:val="21"/>
          <w:szCs w:val="21"/>
        </w:rPr>
        <w:t>-2</w:t>
      </w:r>
      <w:r>
        <w:rPr>
          <w:rFonts w:hint="eastAsia" w:eastAsia="黑体" w:cs="Times New Roman"/>
          <w:b/>
          <w:color w:val="auto"/>
          <w:sz w:val="21"/>
          <w:szCs w:val="21"/>
        </w:rPr>
        <w:t>广西常见乡土植物（桂中地区：柳州、桂平、个旧）</w:t>
      </w:r>
    </w:p>
    <w:tbl>
      <w:tblPr>
        <w:tblStyle w:val="1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29"/>
        <w:gridCol w:w="83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cantSplit/>
          <w:trHeight w:val="794" w:hRule="atLeast"/>
          <w:jc w:val="center"/>
        </w:trPr>
        <w:tc>
          <w:tcPr>
            <w:tcW w:w="729" w:type="pct"/>
            <w:tcBorders>
              <w:top w:val="single" w:color="auto" w:sz="4" w:space="0"/>
              <w:left w:val="single" w:color="auto" w:sz="4" w:space="0"/>
              <w:bottom w:val="single" w:color="auto" w:sz="4" w:space="0"/>
              <w:right w:val="single" w:color="auto" w:sz="4" w:space="0"/>
            </w:tcBorders>
            <w:noWrap w:val="0"/>
            <w:vAlign w:val="center"/>
          </w:tcPr>
          <w:p>
            <w:pPr>
              <w:pStyle w:val="10"/>
              <w:spacing w:before="0" w:beforeAutospacing="0" w:after="0" w:afterAutospacing="0"/>
              <w:jc w:val="center"/>
              <w:rPr>
                <w:rFonts w:ascii="Times New Roman" w:hAnsi="Times New Roman" w:cs="Times New Roman"/>
                <w:sz w:val="21"/>
                <w:szCs w:val="21"/>
              </w:rPr>
            </w:pPr>
            <w:r>
              <w:rPr>
                <w:rStyle w:val="14"/>
                <w:rFonts w:hint="eastAsia" w:ascii="Times New Roman" w:hAnsi="Times New Roman" w:cs="Times New Roman"/>
                <w:bCs/>
                <w:sz w:val="21"/>
                <w:szCs w:val="21"/>
              </w:rPr>
              <w:t>常绿乔木</w:t>
            </w:r>
          </w:p>
        </w:tc>
        <w:tc>
          <w:tcPr>
            <w:tcW w:w="4271" w:type="pct"/>
            <w:tcBorders>
              <w:top w:val="single" w:color="auto" w:sz="4" w:space="0"/>
              <w:left w:val="single" w:color="auto" w:sz="4" w:space="0"/>
              <w:bottom w:val="single" w:color="auto" w:sz="4" w:space="0"/>
              <w:right w:val="single" w:color="auto" w:sz="4" w:space="0"/>
            </w:tcBorders>
            <w:noWrap w:val="0"/>
            <w:vAlign w:val="center"/>
          </w:tcPr>
          <w:p>
            <w:pPr>
              <w:pStyle w:val="27"/>
              <w:spacing w:line="240" w:lineRule="auto"/>
              <w:ind w:firstLine="0" w:firstLineChars="0"/>
              <w:rPr>
                <w:sz w:val="21"/>
                <w:szCs w:val="21"/>
              </w:rPr>
            </w:pPr>
            <w:r>
              <w:rPr>
                <w:rFonts w:hint="eastAsia"/>
                <w:sz w:val="21"/>
                <w:szCs w:val="21"/>
              </w:rPr>
              <w:t>南洋杉、湿地松、罗汉松、杉木、桧柏、龙柏、侧柏、竹柏、柳杉、香榧、海南红豆、台湾相思、白千层、高山榕、大叶榕、小叶榕、橡皮榕、菩提树、蒲桃、香樟、阴香、肉桂、秋枫、火力楠、铁刀木、铁冬青、人面子、假苹婆、花榈木、苹婆、黄槿、杜英、水翁、蝴蝶果、芒果、扁桃、枇杷、杨梅、柚子树、油梨、盆架子、水石榕、、桂花、女贞、柠檬桉、幌伞枫、黄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cantSplit/>
          <w:trHeight w:val="794" w:hRule="atLeast"/>
          <w:jc w:val="center"/>
        </w:trPr>
        <w:tc>
          <w:tcPr>
            <w:tcW w:w="729" w:type="pct"/>
            <w:tcBorders>
              <w:top w:val="single" w:color="auto" w:sz="4" w:space="0"/>
              <w:left w:val="single" w:color="auto" w:sz="4" w:space="0"/>
              <w:bottom w:val="single" w:color="auto" w:sz="4" w:space="0"/>
              <w:right w:val="single" w:color="auto" w:sz="4" w:space="0"/>
            </w:tcBorders>
            <w:noWrap w:val="0"/>
            <w:vAlign w:val="center"/>
          </w:tcPr>
          <w:p>
            <w:pPr>
              <w:pStyle w:val="10"/>
              <w:spacing w:before="0" w:beforeAutospacing="0" w:after="0" w:afterAutospacing="0"/>
              <w:jc w:val="center"/>
              <w:rPr>
                <w:rFonts w:ascii="Times New Roman" w:hAnsi="Times New Roman" w:cs="Times New Roman"/>
                <w:sz w:val="21"/>
                <w:szCs w:val="21"/>
              </w:rPr>
            </w:pPr>
            <w:r>
              <w:rPr>
                <w:rStyle w:val="14"/>
                <w:rFonts w:hint="eastAsia" w:ascii="Times New Roman" w:hAnsi="Times New Roman" w:cs="Times New Roman"/>
                <w:bCs/>
                <w:sz w:val="21"/>
                <w:szCs w:val="21"/>
              </w:rPr>
              <w:t>落叶乔木</w:t>
            </w:r>
          </w:p>
        </w:tc>
        <w:tc>
          <w:tcPr>
            <w:tcW w:w="4271" w:type="pct"/>
            <w:tcBorders>
              <w:top w:val="single" w:color="auto" w:sz="4" w:space="0"/>
              <w:left w:val="single" w:color="auto" w:sz="4" w:space="0"/>
              <w:bottom w:val="single" w:color="auto" w:sz="4" w:space="0"/>
              <w:right w:val="single" w:color="auto" w:sz="4" w:space="0"/>
            </w:tcBorders>
            <w:noWrap w:val="0"/>
            <w:vAlign w:val="center"/>
          </w:tcPr>
          <w:p>
            <w:pPr>
              <w:pStyle w:val="10"/>
              <w:spacing w:before="0" w:beforeAutospacing="0" w:after="0" w:afterAutospacing="0"/>
              <w:jc w:val="both"/>
              <w:rPr>
                <w:rFonts w:ascii="Times New Roman" w:hAnsi="Times New Roman" w:cs="Times New Roman"/>
                <w:sz w:val="21"/>
                <w:szCs w:val="21"/>
              </w:rPr>
            </w:pPr>
            <w:r>
              <w:rPr>
                <w:rFonts w:hint="eastAsia" w:ascii="Times New Roman" w:hAnsi="Times New Roman" w:cs="Times New Roman"/>
                <w:sz w:val="21"/>
                <w:szCs w:val="21"/>
              </w:rPr>
              <w:t>水杉、池杉、落羽杉、小叶榄仁、水松、鹅掌楸、青桐、梧桐、麻楝、朴树、榔榆、枫杨、枫香、垂柳、无患子、刺楸、紫叶李、乌桕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cantSplit/>
          <w:trHeight w:val="794" w:hRule="atLeast"/>
          <w:jc w:val="center"/>
        </w:trPr>
        <w:tc>
          <w:tcPr>
            <w:tcW w:w="729" w:type="pct"/>
            <w:tcBorders>
              <w:top w:val="single" w:color="auto" w:sz="4" w:space="0"/>
              <w:left w:val="single" w:color="auto" w:sz="4" w:space="0"/>
              <w:bottom w:val="single" w:color="auto" w:sz="4" w:space="0"/>
              <w:right w:val="single" w:color="auto" w:sz="4" w:space="0"/>
            </w:tcBorders>
            <w:noWrap w:val="0"/>
            <w:vAlign w:val="center"/>
          </w:tcPr>
          <w:p>
            <w:pPr>
              <w:pStyle w:val="10"/>
              <w:spacing w:before="0" w:beforeAutospacing="0" w:after="0" w:afterAutospacing="0"/>
              <w:jc w:val="center"/>
              <w:rPr>
                <w:rFonts w:ascii="Times New Roman" w:hAnsi="Times New Roman" w:cs="Times New Roman"/>
                <w:sz w:val="21"/>
                <w:szCs w:val="21"/>
              </w:rPr>
            </w:pPr>
            <w:r>
              <w:rPr>
                <w:rStyle w:val="14"/>
                <w:rFonts w:hint="eastAsia" w:ascii="Times New Roman" w:hAnsi="Times New Roman" w:cs="Times New Roman"/>
                <w:bCs/>
                <w:sz w:val="21"/>
                <w:szCs w:val="21"/>
              </w:rPr>
              <w:t>大花乔木</w:t>
            </w:r>
          </w:p>
        </w:tc>
        <w:tc>
          <w:tcPr>
            <w:tcW w:w="4271" w:type="pct"/>
            <w:tcBorders>
              <w:top w:val="single" w:color="auto" w:sz="4" w:space="0"/>
              <w:left w:val="single" w:color="auto" w:sz="4" w:space="0"/>
              <w:bottom w:val="single" w:color="auto" w:sz="4" w:space="0"/>
              <w:right w:val="single" w:color="auto" w:sz="4" w:space="0"/>
            </w:tcBorders>
            <w:noWrap w:val="0"/>
            <w:vAlign w:val="center"/>
          </w:tcPr>
          <w:p>
            <w:pPr>
              <w:pStyle w:val="10"/>
              <w:spacing w:before="0" w:beforeAutospacing="0" w:after="0" w:afterAutospacing="0"/>
              <w:jc w:val="both"/>
              <w:rPr>
                <w:rFonts w:ascii="Times New Roman" w:hAnsi="Times New Roman" w:cs="Times New Roman"/>
                <w:sz w:val="21"/>
                <w:szCs w:val="21"/>
              </w:rPr>
            </w:pPr>
            <w:r>
              <w:rPr>
                <w:rFonts w:hint="eastAsia" w:ascii="Times New Roman" w:hAnsi="Times New Roman" w:cs="Times New Roman"/>
                <w:sz w:val="21"/>
                <w:szCs w:val="21"/>
              </w:rPr>
              <w:t>白玉兰、二乔玉兰、紫玉兰、合欢、红花羊蹄甲、美丽异木棉、白兰、广玉兰、洋紫荆、宫粉紫荆、黄槐、中国无忧花、大花紫薇、木棉、刺桐、鸡冠刺桐、珊瑚刺桐、复羽叶栾树、蓝花楹、石榴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cantSplit/>
          <w:trHeight w:val="794" w:hRule="atLeast"/>
          <w:jc w:val="center"/>
        </w:trPr>
        <w:tc>
          <w:tcPr>
            <w:tcW w:w="729" w:type="pct"/>
            <w:tcBorders>
              <w:top w:val="single" w:color="auto" w:sz="4" w:space="0"/>
              <w:left w:val="single" w:color="auto" w:sz="4" w:space="0"/>
              <w:bottom w:val="single" w:color="auto" w:sz="4" w:space="0"/>
              <w:right w:val="single" w:color="auto" w:sz="4" w:space="0"/>
            </w:tcBorders>
            <w:noWrap w:val="0"/>
            <w:vAlign w:val="center"/>
          </w:tcPr>
          <w:p>
            <w:pPr>
              <w:pStyle w:val="10"/>
              <w:spacing w:before="0" w:beforeAutospacing="0" w:after="0" w:afterAutospacing="0"/>
              <w:jc w:val="center"/>
              <w:rPr>
                <w:rFonts w:ascii="Times New Roman" w:hAnsi="Times New Roman" w:cs="Times New Roman"/>
                <w:sz w:val="21"/>
                <w:szCs w:val="21"/>
              </w:rPr>
            </w:pPr>
            <w:r>
              <w:rPr>
                <w:rStyle w:val="14"/>
                <w:rFonts w:hint="eastAsia" w:ascii="Times New Roman" w:hAnsi="Times New Roman" w:cs="Times New Roman"/>
                <w:bCs/>
                <w:sz w:val="21"/>
                <w:szCs w:val="21"/>
              </w:rPr>
              <w:t>棕榈类</w:t>
            </w:r>
          </w:p>
        </w:tc>
        <w:tc>
          <w:tcPr>
            <w:tcW w:w="4271" w:type="pct"/>
            <w:tcBorders>
              <w:top w:val="single" w:color="auto" w:sz="4" w:space="0"/>
              <w:left w:val="single" w:color="auto" w:sz="4" w:space="0"/>
              <w:bottom w:val="single" w:color="auto" w:sz="4" w:space="0"/>
              <w:right w:val="single" w:color="auto" w:sz="4" w:space="0"/>
            </w:tcBorders>
            <w:noWrap w:val="0"/>
            <w:vAlign w:val="center"/>
          </w:tcPr>
          <w:p>
            <w:pPr>
              <w:pStyle w:val="10"/>
              <w:spacing w:before="0" w:beforeAutospacing="0" w:after="0" w:afterAutospacing="0"/>
              <w:jc w:val="both"/>
              <w:rPr>
                <w:rFonts w:ascii="Times New Roman" w:hAnsi="Times New Roman" w:cs="Times New Roman"/>
                <w:sz w:val="21"/>
                <w:szCs w:val="21"/>
              </w:rPr>
            </w:pPr>
            <w:r>
              <w:rPr>
                <w:rFonts w:hint="eastAsia" w:ascii="Times New Roman" w:hAnsi="Times New Roman" w:cs="Times New Roman"/>
                <w:sz w:val="21"/>
                <w:szCs w:val="21"/>
              </w:rPr>
              <w:t>棕榈、蒲葵、假槟榔、大王椰子、皇后葵、董棕、长叶刺葵、细叶针葵、华盛顿棕、鱼尾葵、散尾葵、三药槟榔、棕竹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cantSplit/>
          <w:trHeight w:val="794" w:hRule="atLeast"/>
          <w:jc w:val="center"/>
        </w:trPr>
        <w:tc>
          <w:tcPr>
            <w:tcW w:w="729" w:type="pct"/>
            <w:tcBorders>
              <w:top w:val="single" w:color="auto" w:sz="4" w:space="0"/>
              <w:left w:val="single" w:color="auto" w:sz="4" w:space="0"/>
              <w:bottom w:val="single" w:color="auto" w:sz="4" w:space="0"/>
              <w:right w:val="single" w:color="auto" w:sz="4" w:space="0"/>
            </w:tcBorders>
            <w:noWrap w:val="0"/>
            <w:vAlign w:val="center"/>
          </w:tcPr>
          <w:p>
            <w:pPr>
              <w:pStyle w:val="10"/>
              <w:spacing w:before="0" w:beforeAutospacing="0" w:after="0" w:afterAutospacing="0"/>
              <w:jc w:val="center"/>
              <w:rPr>
                <w:rFonts w:ascii="Times New Roman" w:hAnsi="Times New Roman" w:cs="Times New Roman"/>
                <w:sz w:val="21"/>
                <w:szCs w:val="21"/>
              </w:rPr>
            </w:pPr>
            <w:r>
              <w:rPr>
                <w:rStyle w:val="14"/>
                <w:rFonts w:hint="eastAsia" w:ascii="Times New Roman" w:hAnsi="Times New Roman" w:cs="Times New Roman"/>
                <w:bCs/>
                <w:sz w:val="21"/>
                <w:szCs w:val="21"/>
              </w:rPr>
              <w:t>竹类</w:t>
            </w:r>
          </w:p>
        </w:tc>
        <w:tc>
          <w:tcPr>
            <w:tcW w:w="4271" w:type="pct"/>
            <w:tcBorders>
              <w:top w:val="single" w:color="auto" w:sz="4" w:space="0"/>
              <w:left w:val="single" w:color="auto" w:sz="4" w:space="0"/>
              <w:bottom w:val="single" w:color="auto" w:sz="4" w:space="0"/>
              <w:right w:val="single" w:color="auto" w:sz="4" w:space="0"/>
            </w:tcBorders>
            <w:noWrap w:val="0"/>
            <w:vAlign w:val="center"/>
          </w:tcPr>
          <w:p>
            <w:pPr>
              <w:pStyle w:val="10"/>
              <w:spacing w:before="0" w:beforeAutospacing="0" w:after="0" w:afterAutospacing="0"/>
              <w:jc w:val="both"/>
              <w:rPr>
                <w:rFonts w:ascii="Times New Roman" w:hAnsi="Times New Roman" w:cs="Times New Roman"/>
                <w:sz w:val="21"/>
                <w:szCs w:val="21"/>
              </w:rPr>
            </w:pPr>
            <w:r>
              <w:rPr>
                <w:rFonts w:hint="eastAsia" w:ascii="Times New Roman" w:hAnsi="Times New Roman" w:cs="Times New Roman"/>
                <w:sz w:val="21"/>
                <w:szCs w:val="21"/>
              </w:rPr>
              <w:t>黄金间碧玉竹、青皮竹、慈竹、苦竹、孝顺竹、凤尾竹、毛竹、淡竹、佛肚竹、粉单竹、麻竹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cantSplit/>
          <w:trHeight w:val="794" w:hRule="atLeast"/>
          <w:jc w:val="center"/>
        </w:trPr>
        <w:tc>
          <w:tcPr>
            <w:tcW w:w="729" w:type="pct"/>
            <w:tcBorders>
              <w:top w:val="single" w:color="auto" w:sz="4" w:space="0"/>
              <w:left w:val="single" w:color="auto" w:sz="4" w:space="0"/>
              <w:bottom w:val="single" w:color="auto" w:sz="4" w:space="0"/>
              <w:right w:val="single" w:color="auto" w:sz="4" w:space="0"/>
            </w:tcBorders>
            <w:noWrap w:val="0"/>
            <w:vAlign w:val="center"/>
          </w:tcPr>
          <w:p>
            <w:pPr>
              <w:pStyle w:val="10"/>
              <w:spacing w:before="0" w:beforeAutospacing="0" w:after="0" w:afterAutospacing="0"/>
              <w:jc w:val="center"/>
              <w:rPr>
                <w:rFonts w:ascii="Times New Roman" w:hAnsi="Times New Roman" w:cs="Times New Roman"/>
                <w:sz w:val="21"/>
                <w:szCs w:val="21"/>
              </w:rPr>
            </w:pPr>
            <w:r>
              <w:rPr>
                <w:rStyle w:val="14"/>
                <w:rFonts w:hint="eastAsia" w:ascii="Times New Roman" w:hAnsi="Times New Roman" w:cs="Times New Roman"/>
                <w:bCs/>
                <w:sz w:val="21"/>
                <w:szCs w:val="21"/>
              </w:rPr>
              <w:t>观叶灌木</w:t>
            </w:r>
          </w:p>
        </w:tc>
        <w:tc>
          <w:tcPr>
            <w:tcW w:w="4271" w:type="pct"/>
            <w:tcBorders>
              <w:top w:val="single" w:color="auto" w:sz="4" w:space="0"/>
              <w:left w:val="single" w:color="auto" w:sz="4" w:space="0"/>
              <w:bottom w:val="single" w:color="auto" w:sz="4" w:space="0"/>
              <w:right w:val="single" w:color="auto" w:sz="4" w:space="0"/>
            </w:tcBorders>
            <w:noWrap w:val="0"/>
            <w:vAlign w:val="center"/>
          </w:tcPr>
          <w:p>
            <w:pPr>
              <w:pStyle w:val="10"/>
              <w:spacing w:before="0" w:beforeAutospacing="0" w:after="0" w:afterAutospacing="0"/>
              <w:jc w:val="both"/>
              <w:rPr>
                <w:rFonts w:ascii="Times New Roman" w:hAnsi="Times New Roman" w:cs="Times New Roman"/>
                <w:sz w:val="21"/>
                <w:szCs w:val="21"/>
              </w:rPr>
            </w:pPr>
            <w:r>
              <w:rPr>
                <w:rFonts w:hint="eastAsia" w:ascii="Times New Roman" w:hAnsi="Times New Roman" w:cs="Times New Roman"/>
                <w:sz w:val="21"/>
                <w:szCs w:val="21"/>
              </w:rPr>
              <w:t>黄金榕、鹅掌柴、米仔兰、九里香、红背桂、变叶木、红桑、含笑、海桐、十大功劳、南天竹、非洲茉莉、红千层、洒金珊瑚、垂叶榕、红花继木、金叶假连翘、八角金盘、尖叶木樨榄、小叶黄杨、红叶石楠、日本冬青、福建茶、无花果、接骨木、驳骨丹、法国冬青、日本冬青、珊瑚树、鸡爪槭、银叶金合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cantSplit/>
          <w:trHeight w:val="794" w:hRule="atLeast"/>
          <w:jc w:val="center"/>
        </w:trPr>
        <w:tc>
          <w:tcPr>
            <w:tcW w:w="729" w:type="pct"/>
            <w:tcBorders>
              <w:top w:val="single" w:color="auto" w:sz="4" w:space="0"/>
              <w:left w:val="single" w:color="auto" w:sz="4" w:space="0"/>
              <w:bottom w:val="single" w:color="auto" w:sz="4" w:space="0"/>
              <w:right w:val="single" w:color="auto" w:sz="4" w:space="0"/>
            </w:tcBorders>
            <w:noWrap w:val="0"/>
            <w:vAlign w:val="center"/>
          </w:tcPr>
          <w:p>
            <w:pPr>
              <w:pStyle w:val="10"/>
              <w:spacing w:before="0" w:beforeAutospacing="0" w:after="0" w:afterAutospacing="0"/>
              <w:jc w:val="center"/>
              <w:rPr>
                <w:rFonts w:ascii="Times New Roman" w:hAnsi="Times New Roman" w:cs="Times New Roman"/>
                <w:sz w:val="21"/>
                <w:szCs w:val="21"/>
              </w:rPr>
            </w:pPr>
            <w:r>
              <w:rPr>
                <w:rStyle w:val="14"/>
                <w:rFonts w:hint="eastAsia" w:ascii="Times New Roman" w:hAnsi="Times New Roman" w:cs="Times New Roman"/>
                <w:bCs/>
                <w:sz w:val="21"/>
                <w:szCs w:val="21"/>
              </w:rPr>
              <w:t>观花灌木</w:t>
            </w:r>
          </w:p>
        </w:tc>
        <w:tc>
          <w:tcPr>
            <w:tcW w:w="4271" w:type="pct"/>
            <w:tcBorders>
              <w:top w:val="single" w:color="auto" w:sz="4" w:space="0"/>
              <w:left w:val="single" w:color="auto" w:sz="4" w:space="0"/>
              <w:bottom w:val="single" w:color="auto" w:sz="4" w:space="0"/>
              <w:right w:val="single" w:color="auto" w:sz="4" w:space="0"/>
            </w:tcBorders>
            <w:noWrap w:val="0"/>
            <w:vAlign w:val="center"/>
          </w:tcPr>
          <w:p>
            <w:pPr>
              <w:pStyle w:val="10"/>
              <w:spacing w:before="0" w:beforeAutospacing="0" w:after="0" w:afterAutospacing="0"/>
              <w:jc w:val="both"/>
              <w:rPr>
                <w:rFonts w:ascii="Times New Roman" w:hAnsi="Times New Roman" w:cs="Times New Roman"/>
                <w:sz w:val="21"/>
                <w:szCs w:val="21"/>
              </w:rPr>
            </w:pPr>
            <w:r>
              <w:rPr>
                <w:rFonts w:hint="eastAsia" w:ascii="Times New Roman" w:hAnsi="Times New Roman" w:cs="Times New Roman"/>
                <w:sz w:val="21"/>
                <w:szCs w:val="21"/>
              </w:rPr>
              <w:t>希茉莉、大红花、木芙蓉、木槿、山茶、油茶、夹竹桃、黄花夹竹桃、扶桑、吊灯花、毛杜鹃、夏鹃、西洋杜鹃、双荚决明、硬骨凌霄、木本绣球、小叶紫薇、叶子花、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cantSplit/>
          <w:trHeight w:val="794" w:hRule="atLeast"/>
          <w:jc w:val="center"/>
        </w:trPr>
        <w:tc>
          <w:tcPr>
            <w:tcW w:w="729" w:type="pct"/>
            <w:tcBorders>
              <w:top w:val="single" w:color="auto" w:sz="4" w:space="0"/>
              <w:left w:val="single" w:color="auto" w:sz="4" w:space="0"/>
              <w:bottom w:val="single" w:color="auto" w:sz="4" w:space="0"/>
              <w:right w:val="single" w:color="auto" w:sz="4" w:space="0"/>
            </w:tcBorders>
            <w:noWrap w:val="0"/>
            <w:vAlign w:val="center"/>
          </w:tcPr>
          <w:p>
            <w:pPr>
              <w:pStyle w:val="10"/>
              <w:jc w:val="center"/>
              <w:rPr>
                <w:rFonts w:ascii="Times New Roman" w:hAnsi="Times New Roman" w:cs="Times New Roman"/>
                <w:sz w:val="21"/>
                <w:szCs w:val="21"/>
              </w:rPr>
            </w:pPr>
            <w:r>
              <w:rPr>
                <w:rStyle w:val="14"/>
                <w:rFonts w:hint="eastAsia" w:ascii="Times New Roman" w:hAnsi="Times New Roman" w:cs="Times New Roman"/>
                <w:bCs/>
                <w:sz w:val="21"/>
                <w:szCs w:val="21"/>
              </w:rPr>
              <w:t>地被</w:t>
            </w:r>
          </w:p>
        </w:tc>
        <w:tc>
          <w:tcPr>
            <w:tcW w:w="4271" w:type="pct"/>
            <w:tcBorders>
              <w:top w:val="single" w:color="auto" w:sz="4" w:space="0"/>
              <w:left w:val="single" w:color="auto" w:sz="4" w:space="0"/>
              <w:bottom w:val="single" w:color="auto" w:sz="4" w:space="0"/>
              <w:right w:val="single" w:color="auto" w:sz="4" w:space="0"/>
            </w:tcBorders>
            <w:noWrap w:val="0"/>
            <w:vAlign w:val="center"/>
          </w:tcPr>
          <w:p>
            <w:pPr>
              <w:pStyle w:val="10"/>
              <w:spacing w:before="0" w:beforeAutospacing="0" w:after="0" w:afterAutospacing="0"/>
              <w:jc w:val="both"/>
              <w:rPr>
                <w:rFonts w:ascii="Times New Roman" w:hAnsi="Times New Roman" w:cs="Times New Roman"/>
                <w:sz w:val="21"/>
                <w:szCs w:val="21"/>
              </w:rPr>
            </w:pPr>
            <w:r>
              <w:rPr>
                <w:rFonts w:hint="eastAsia" w:ascii="Times New Roman" w:hAnsi="Times New Roman" w:cs="Times New Roman"/>
                <w:sz w:val="21"/>
                <w:szCs w:val="21"/>
              </w:rPr>
              <w:t>合果芋、春羽、龟背竹、鸢尾、美人蕉、蜘蛛兰、吊竹梅、肾蕨、冷水花、沿阶草、大叶油草、彩叶草、细叶美女樱、红绿草、葱兰、花叶良姜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cantSplit/>
          <w:trHeight w:val="794" w:hRule="atLeast"/>
          <w:jc w:val="center"/>
        </w:trPr>
        <w:tc>
          <w:tcPr>
            <w:tcW w:w="729" w:type="pct"/>
            <w:tcBorders>
              <w:top w:val="single" w:color="auto" w:sz="4" w:space="0"/>
              <w:left w:val="single" w:color="auto" w:sz="4" w:space="0"/>
              <w:bottom w:val="single" w:color="auto" w:sz="4" w:space="0"/>
              <w:right w:val="single" w:color="auto" w:sz="4" w:space="0"/>
            </w:tcBorders>
            <w:noWrap w:val="0"/>
            <w:vAlign w:val="center"/>
          </w:tcPr>
          <w:p>
            <w:pPr>
              <w:pStyle w:val="10"/>
              <w:jc w:val="center"/>
              <w:rPr>
                <w:rFonts w:ascii="Times New Roman" w:hAnsi="Times New Roman" w:cs="Times New Roman"/>
                <w:sz w:val="21"/>
                <w:szCs w:val="21"/>
              </w:rPr>
            </w:pPr>
            <w:r>
              <w:rPr>
                <w:rStyle w:val="14"/>
                <w:rFonts w:hint="eastAsia" w:ascii="Times New Roman" w:hAnsi="Times New Roman" w:cs="Times New Roman"/>
                <w:bCs/>
                <w:sz w:val="21"/>
                <w:szCs w:val="21"/>
              </w:rPr>
              <w:t>藤本</w:t>
            </w:r>
          </w:p>
        </w:tc>
        <w:tc>
          <w:tcPr>
            <w:tcW w:w="4271" w:type="pct"/>
            <w:tcBorders>
              <w:top w:val="single" w:color="auto" w:sz="4" w:space="0"/>
              <w:left w:val="single" w:color="auto" w:sz="4" w:space="0"/>
              <w:bottom w:val="single" w:color="auto" w:sz="4" w:space="0"/>
              <w:right w:val="single" w:color="auto" w:sz="4" w:space="0"/>
            </w:tcBorders>
            <w:noWrap w:val="0"/>
            <w:vAlign w:val="center"/>
          </w:tcPr>
          <w:p>
            <w:pPr>
              <w:pStyle w:val="10"/>
              <w:spacing w:before="0" w:beforeAutospacing="0" w:after="0" w:afterAutospacing="0"/>
              <w:jc w:val="both"/>
              <w:rPr>
                <w:rFonts w:ascii="Times New Roman" w:hAnsi="Times New Roman" w:cs="Times New Roman"/>
                <w:sz w:val="21"/>
                <w:szCs w:val="21"/>
              </w:rPr>
            </w:pPr>
            <w:r>
              <w:rPr>
                <w:rFonts w:hint="eastAsia" w:ascii="Times New Roman" w:hAnsi="Times New Roman" w:cs="Times New Roman"/>
                <w:sz w:val="21"/>
                <w:szCs w:val="21"/>
              </w:rPr>
              <w:t>鹰爪花、大花老鸭嘴、使君子、珊瑚藤、爬山虎、炮仗花、白花油麻藤、牵牛花、禾雀花、紫藤、扶芳藤、中华常春藤、绿萝、麒麟尾、凌霄、藤本勒杜鹃、西番莲、蒜香藤、软枝黄蝉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cantSplit/>
          <w:trHeight w:val="794" w:hRule="atLeast"/>
          <w:jc w:val="center"/>
        </w:trPr>
        <w:tc>
          <w:tcPr>
            <w:tcW w:w="729" w:type="pct"/>
            <w:tcBorders>
              <w:top w:val="single" w:color="auto" w:sz="4" w:space="0"/>
              <w:left w:val="single" w:color="auto" w:sz="4" w:space="0"/>
              <w:bottom w:val="single" w:color="auto" w:sz="4" w:space="0"/>
              <w:right w:val="single" w:color="auto" w:sz="4" w:space="0"/>
            </w:tcBorders>
            <w:noWrap w:val="0"/>
            <w:vAlign w:val="center"/>
          </w:tcPr>
          <w:p>
            <w:pPr>
              <w:pStyle w:val="10"/>
              <w:spacing w:before="0" w:beforeAutospacing="0" w:after="0" w:afterAutospacing="0"/>
              <w:jc w:val="center"/>
              <w:rPr>
                <w:rFonts w:ascii="Times New Roman" w:hAnsi="Times New Roman" w:cs="Times New Roman"/>
                <w:sz w:val="21"/>
                <w:szCs w:val="21"/>
              </w:rPr>
            </w:pPr>
            <w:r>
              <w:rPr>
                <w:rStyle w:val="14"/>
                <w:rFonts w:hint="eastAsia" w:ascii="Times New Roman" w:hAnsi="Times New Roman" w:cs="Times New Roman"/>
                <w:bCs/>
                <w:sz w:val="21"/>
                <w:szCs w:val="21"/>
              </w:rPr>
              <w:t>时花</w:t>
            </w:r>
          </w:p>
        </w:tc>
        <w:tc>
          <w:tcPr>
            <w:tcW w:w="4271" w:type="pct"/>
            <w:tcBorders>
              <w:top w:val="single" w:color="auto" w:sz="4" w:space="0"/>
              <w:left w:val="single" w:color="auto" w:sz="4" w:space="0"/>
              <w:bottom w:val="single" w:color="auto" w:sz="4" w:space="0"/>
              <w:right w:val="single" w:color="auto" w:sz="4" w:space="0"/>
            </w:tcBorders>
            <w:noWrap w:val="0"/>
            <w:vAlign w:val="center"/>
          </w:tcPr>
          <w:p>
            <w:pPr>
              <w:pStyle w:val="10"/>
              <w:spacing w:before="0" w:beforeAutospacing="0" w:after="0" w:afterAutospacing="0"/>
              <w:jc w:val="both"/>
              <w:rPr>
                <w:rFonts w:ascii="Times New Roman" w:hAnsi="Times New Roman" w:cs="Times New Roman"/>
                <w:sz w:val="21"/>
                <w:szCs w:val="21"/>
              </w:rPr>
            </w:pPr>
            <w:r>
              <w:rPr>
                <w:rFonts w:hint="eastAsia" w:ascii="Times New Roman" w:hAnsi="Times New Roman" w:cs="Times New Roman"/>
                <w:sz w:val="21"/>
                <w:szCs w:val="21"/>
              </w:rPr>
              <w:t>繁星花、非洲凤仙花、四季秋海棠、鸡冠花、大丽花、菊花、夏堇、香彩雀、一串红、矮牵牛、杂交石竹、羽衣甘蓝、孔雀草、万寿菊、旱金莲、三色堇、千日红、百日草、松叶牡丹、瓜叶菊</w:t>
            </w:r>
          </w:p>
        </w:tc>
      </w:tr>
    </w:tbl>
    <w:p>
      <w:pPr>
        <w:rPr>
          <w:szCs w:val="21"/>
        </w:rPr>
      </w:pPr>
    </w:p>
    <w:p>
      <w:pPr>
        <w:pStyle w:val="23"/>
        <w:ind w:firstLine="422" w:firstLineChars="200"/>
        <w:jc w:val="center"/>
        <w:rPr>
          <w:rFonts w:eastAsia="黑体" w:cs="Times New Roman"/>
          <w:color w:val="auto"/>
          <w:sz w:val="21"/>
          <w:szCs w:val="21"/>
        </w:rPr>
      </w:pPr>
      <w:r>
        <w:rPr>
          <w:rFonts w:hint="eastAsia" w:eastAsia="黑体" w:cs="Times New Roman"/>
          <w:b/>
          <w:color w:val="auto"/>
          <w:sz w:val="21"/>
          <w:szCs w:val="21"/>
        </w:rPr>
        <w:t>表8.1.3</w:t>
      </w:r>
      <w:r>
        <w:rPr>
          <w:rFonts w:eastAsia="黑体" w:cs="Times New Roman"/>
          <w:b/>
          <w:color w:val="auto"/>
          <w:sz w:val="21"/>
          <w:szCs w:val="21"/>
        </w:rPr>
        <w:t>-3</w:t>
      </w:r>
      <w:r>
        <w:rPr>
          <w:rFonts w:hint="eastAsia" w:eastAsia="黑体" w:cs="Times New Roman"/>
          <w:b/>
          <w:color w:val="auto"/>
          <w:sz w:val="21"/>
          <w:szCs w:val="21"/>
        </w:rPr>
        <w:t>广西常见乡土植物（桂南地区：南宁、钦州、北海）</w:t>
      </w:r>
    </w:p>
    <w:tbl>
      <w:tblPr>
        <w:tblStyle w:val="1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29"/>
        <w:gridCol w:w="83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cantSplit/>
          <w:trHeight w:val="794" w:hRule="atLeast"/>
          <w:jc w:val="center"/>
        </w:trPr>
        <w:tc>
          <w:tcPr>
            <w:tcW w:w="729" w:type="pct"/>
            <w:tcBorders>
              <w:top w:val="single" w:color="auto" w:sz="4" w:space="0"/>
              <w:left w:val="single" w:color="auto" w:sz="4" w:space="0"/>
              <w:bottom w:val="single" w:color="auto" w:sz="4" w:space="0"/>
              <w:right w:val="single" w:color="auto" w:sz="4" w:space="0"/>
            </w:tcBorders>
            <w:noWrap w:val="0"/>
            <w:vAlign w:val="center"/>
          </w:tcPr>
          <w:p>
            <w:pPr>
              <w:pStyle w:val="10"/>
              <w:spacing w:before="0" w:beforeAutospacing="0" w:after="0" w:afterAutospacing="0"/>
              <w:jc w:val="center"/>
              <w:rPr>
                <w:rFonts w:ascii="Times New Roman" w:hAnsi="Times New Roman" w:cs="Times New Roman"/>
                <w:sz w:val="21"/>
                <w:szCs w:val="21"/>
              </w:rPr>
            </w:pPr>
            <w:r>
              <w:rPr>
                <w:rStyle w:val="14"/>
                <w:rFonts w:hint="eastAsia" w:ascii="Times New Roman" w:hAnsi="Times New Roman" w:cs="Times New Roman"/>
                <w:bCs/>
                <w:sz w:val="21"/>
                <w:szCs w:val="21"/>
              </w:rPr>
              <w:t>常绿乔木</w:t>
            </w:r>
          </w:p>
        </w:tc>
        <w:tc>
          <w:tcPr>
            <w:tcW w:w="4271" w:type="pct"/>
            <w:tcBorders>
              <w:top w:val="single" w:color="auto" w:sz="4" w:space="0"/>
              <w:left w:val="single" w:color="auto" w:sz="4" w:space="0"/>
              <w:bottom w:val="single" w:color="auto" w:sz="4" w:space="0"/>
              <w:right w:val="single" w:color="auto" w:sz="4" w:space="0"/>
            </w:tcBorders>
            <w:noWrap w:val="0"/>
            <w:vAlign w:val="center"/>
          </w:tcPr>
          <w:p>
            <w:pPr>
              <w:pStyle w:val="27"/>
              <w:spacing w:line="240" w:lineRule="auto"/>
              <w:ind w:firstLine="0" w:firstLineChars="0"/>
              <w:rPr>
                <w:sz w:val="21"/>
                <w:szCs w:val="21"/>
              </w:rPr>
            </w:pPr>
            <w:r>
              <w:rPr>
                <w:rFonts w:hint="eastAsia"/>
                <w:sz w:val="21"/>
                <w:szCs w:val="21"/>
              </w:rPr>
              <w:t>罗汉松、竹柏、南洋杉、异叶南洋杉、侧柏、龙柏、北美圆柏、木莲、红花木莲、酸豆树、桃花心木、血桐、玉蕊、白千层、木麻黄、台湾相思、马占相思、桉树、高山榕、大叶榕、小叶榕、橡皮榕、金钱榕、香樟、阴香、肉桂、秋枫、火力楠、假苹婆、苹婆、黄槿、铁刀木、铁冬青、大花五桠果、杜英、水翁、观光木、海南红豆、人面子、蝴蝶果、蒲桃、海南蒲桃、芒果、橄榄、人心果、扁桃、杨梅、柚子树、海南菜豆树、树菠萝、岭南山竹子、盆架子、黑板树、柚木、水石榕、桂花、女贞、南洋楹、澳洲鸭脚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cantSplit/>
          <w:trHeight w:val="794" w:hRule="atLeast"/>
          <w:jc w:val="center"/>
        </w:trPr>
        <w:tc>
          <w:tcPr>
            <w:tcW w:w="729" w:type="pct"/>
            <w:tcBorders>
              <w:top w:val="single" w:color="auto" w:sz="4" w:space="0"/>
              <w:left w:val="single" w:color="auto" w:sz="4" w:space="0"/>
              <w:bottom w:val="single" w:color="auto" w:sz="4" w:space="0"/>
              <w:right w:val="single" w:color="auto" w:sz="4" w:space="0"/>
            </w:tcBorders>
            <w:noWrap w:val="0"/>
            <w:vAlign w:val="center"/>
          </w:tcPr>
          <w:p>
            <w:pPr>
              <w:pStyle w:val="10"/>
              <w:spacing w:before="0" w:beforeAutospacing="0" w:after="0" w:afterAutospacing="0"/>
              <w:jc w:val="center"/>
              <w:rPr>
                <w:rFonts w:ascii="Times New Roman" w:hAnsi="Times New Roman" w:cs="Times New Roman"/>
                <w:sz w:val="21"/>
                <w:szCs w:val="21"/>
              </w:rPr>
            </w:pPr>
            <w:r>
              <w:rPr>
                <w:rStyle w:val="14"/>
                <w:rFonts w:hint="eastAsia" w:ascii="Times New Roman" w:hAnsi="Times New Roman" w:cs="Times New Roman"/>
                <w:bCs/>
                <w:sz w:val="21"/>
                <w:szCs w:val="21"/>
              </w:rPr>
              <w:t>落叶乔木</w:t>
            </w:r>
          </w:p>
        </w:tc>
        <w:tc>
          <w:tcPr>
            <w:tcW w:w="4271" w:type="pct"/>
            <w:tcBorders>
              <w:top w:val="single" w:color="auto" w:sz="4" w:space="0"/>
              <w:left w:val="single" w:color="auto" w:sz="4" w:space="0"/>
              <w:bottom w:val="single" w:color="auto" w:sz="4" w:space="0"/>
              <w:right w:val="single" w:color="auto" w:sz="4" w:space="0"/>
            </w:tcBorders>
            <w:noWrap w:val="0"/>
            <w:vAlign w:val="center"/>
          </w:tcPr>
          <w:p>
            <w:pPr>
              <w:pStyle w:val="10"/>
              <w:spacing w:before="0" w:beforeAutospacing="0" w:after="0" w:afterAutospacing="0"/>
              <w:jc w:val="both"/>
              <w:rPr>
                <w:rFonts w:ascii="Times New Roman" w:hAnsi="Times New Roman" w:cs="Times New Roman"/>
                <w:sz w:val="21"/>
                <w:szCs w:val="21"/>
              </w:rPr>
            </w:pPr>
            <w:r>
              <w:rPr>
                <w:rFonts w:hint="eastAsia" w:ascii="Times New Roman" w:hAnsi="Times New Roman" w:cs="Times New Roman"/>
                <w:sz w:val="21"/>
                <w:szCs w:val="21"/>
              </w:rPr>
              <w:t>水杉、池杉、落羽杉、小叶榄仁、鱼木、梧桐、海红豆、阔荚合欢、腊肠树、麻楝、朴树、榔榆、非洲楝、垂柳、无患子、岭南酸枣、蓝花楹、三角枫、金合欢、紫叶李、印度紫檀、枫香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cantSplit/>
          <w:trHeight w:val="794" w:hRule="atLeast"/>
          <w:jc w:val="center"/>
        </w:trPr>
        <w:tc>
          <w:tcPr>
            <w:tcW w:w="729" w:type="pct"/>
            <w:tcBorders>
              <w:top w:val="single" w:color="auto" w:sz="4" w:space="0"/>
              <w:left w:val="single" w:color="auto" w:sz="4" w:space="0"/>
              <w:bottom w:val="single" w:color="auto" w:sz="4" w:space="0"/>
              <w:right w:val="single" w:color="auto" w:sz="4" w:space="0"/>
            </w:tcBorders>
            <w:noWrap w:val="0"/>
            <w:vAlign w:val="center"/>
          </w:tcPr>
          <w:p>
            <w:pPr>
              <w:pStyle w:val="10"/>
              <w:spacing w:before="0" w:beforeAutospacing="0" w:after="0" w:afterAutospacing="0"/>
              <w:jc w:val="center"/>
              <w:rPr>
                <w:rFonts w:ascii="Times New Roman" w:hAnsi="Times New Roman" w:cs="Times New Roman"/>
                <w:sz w:val="21"/>
                <w:szCs w:val="21"/>
              </w:rPr>
            </w:pPr>
            <w:r>
              <w:rPr>
                <w:rStyle w:val="14"/>
                <w:rFonts w:hint="eastAsia" w:ascii="Times New Roman" w:hAnsi="Times New Roman" w:cs="Times New Roman"/>
                <w:bCs/>
                <w:sz w:val="21"/>
                <w:szCs w:val="21"/>
              </w:rPr>
              <w:t>大花乔木</w:t>
            </w:r>
          </w:p>
        </w:tc>
        <w:tc>
          <w:tcPr>
            <w:tcW w:w="4271" w:type="pct"/>
            <w:tcBorders>
              <w:top w:val="single" w:color="auto" w:sz="4" w:space="0"/>
              <w:left w:val="single" w:color="auto" w:sz="4" w:space="0"/>
              <w:bottom w:val="single" w:color="auto" w:sz="4" w:space="0"/>
              <w:right w:val="single" w:color="auto" w:sz="4" w:space="0"/>
            </w:tcBorders>
            <w:noWrap w:val="0"/>
            <w:vAlign w:val="center"/>
          </w:tcPr>
          <w:p>
            <w:pPr>
              <w:pStyle w:val="10"/>
              <w:spacing w:before="0" w:beforeAutospacing="0" w:after="0" w:afterAutospacing="0"/>
              <w:jc w:val="both"/>
              <w:rPr>
                <w:rFonts w:ascii="Times New Roman" w:hAnsi="Times New Roman" w:cs="Times New Roman"/>
                <w:sz w:val="21"/>
                <w:szCs w:val="21"/>
              </w:rPr>
            </w:pPr>
            <w:r>
              <w:rPr>
                <w:rFonts w:hint="eastAsia" w:ascii="Times New Roman" w:hAnsi="Times New Roman" w:cs="Times New Roman"/>
                <w:sz w:val="21"/>
                <w:szCs w:val="21"/>
              </w:rPr>
              <w:t>二乔玉兰、紫玉兰、合欢、红花羊蹄甲、木棉、美丽异木棉、爪哇木棉、白兰、黄兰、鸡蛋花、洋紫荆、黄槐、中国无忧花、火焰木、大花紫薇、刺桐、鸡冠刺桐、珊瑚刺桐、复羽叶栾树、石榴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cantSplit/>
          <w:trHeight w:val="794" w:hRule="atLeast"/>
          <w:jc w:val="center"/>
        </w:trPr>
        <w:tc>
          <w:tcPr>
            <w:tcW w:w="729" w:type="pct"/>
            <w:tcBorders>
              <w:top w:val="single" w:color="auto" w:sz="4" w:space="0"/>
              <w:left w:val="single" w:color="auto" w:sz="4" w:space="0"/>
              <w:bottom w:val="single" w:color="auto" w:sz="4" w:space="0"/>
              <w:right w:val="single" w:color="auto" w:sz="4" w:space="0"/>
            </w:tcBorders>
            <w:noWrap w:val="0"/>
            <w:vAlign w:val="center"/>
          </w:tcPr>
          <w:p>
            <w:pPr>
              <w:pStyle w:val="10"/>
              <w:spacing w:before="0" w:beforeAutospacing="0" w:after="0" w:afterAutospacing="0"/>
              <w:jc w:val="center"/>
              <w:rPr>
                <w:rFonts w:ascii="Times New Roman" w:hAnsi="Times New Roman" w:cs="Times New Roman"/>
                <w:sz w:val="21"/>
                <w:szCs w:val="21"/>
              </w:rPr>
            </w:pPr>
            <w:r>
              <w:rPr>
                <w:rStyle w:val="14"/>
                <w:rFonts w:hint="eastAsia" w:ascii="Times New Roman" w:hAnsi="Times New Roman" w:cs="Times New Roman"/>
                <w:bCs/>
                <w:sz w:val="21"/>
                <w:szCs w:val="21"/>
              </w:rPr>
              <w:t>棕榈类</w:t>
            </w:r>
          </w:p>
        </w:tc>
        <w:tc>
          <w:tcPr>
            <w:tcW w:w="4271" w:type="pct"/>
            <w:tcBorders>
              <w:top w:val="single" w:color="auto" w:sz="4" w:space="0"/>
              <w:left w:val="single" w:color="auto" w:sz="4" w:space="0"/>
              <w:bottom w:val="single" w:color="auto" w:sz="4" w:space="0"/>
              <w:right w:val="single" w:color="auto" w:sz="4" w:space="0"/>
            </w:tcBorders>
            <w:noWrap w:val="0"/>
            <w:vAlign w:val="center"/>
          </w:tcPr>
          <w:p>
            <w:pPr>
              <w:pStyle w:val="10"/>
              <w:spacing w:before="0" w:beforeAutospacing="0" w:after="0" w:afterAutospacing="0"/>
              <w:jc w:val="both"/>
              <w:rPr>
                <w:rFonts w:ascii="Times New Roman" w:hAnsi="Times New Roman" w:cs="Times New Roman"/>
                <w:sz w:val="21"/>
                <w:szCs w:val="21"/>
              </w:rPr>
            </w:pPr>
            <w:r>
              <w:rPr>
                <w:rFonts w:hint="eastAsia" w:ascii="Times New Roman" w:hAnsi="Times New Roman" w:cs="Times New Roman"/>
                <w:sz w:val="21"/>
                <w:szCs w:val="21"/>
              </w:rPr>
              <w:t>蒲葵、槟榔、假槟榔、油棕、椰子、酒瓶椰子、三角椰子、王棕、丝葵、大王椰子、皇后葵、董棕、长叶刺葵、细叶针葵、华盛顿棕、鱼尾葵、散尾葵、三药槟榔、棕竹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cantSplit/>
          <w:trHeight w:val="794" w:hRule="atLeast"/>
          <w:jc w:val="center"/>
        </w:trPr>
        <w:tc>
          <w:tcPr>
            <w:tcW w:w="729" w:type="pct"/>
            <w:tcBorders>
              <w:top w:val="single" w:color="auto" w:sz="4" w:space="0"/>
              <w:left w:val="single" w:color="auto" w:sz="4" w:space="0"/>
              <w:bottom w:val="single" w:color="auto" w:sz="4" w:space="0"/>
              <w:right w:val="single" w:color="auto" w:sz="4" w:space="0"/>
            </w:tcBorders>
            <w:noWrap w:val="0"/>
            <w:vAlign w:val="center"/>
          </w:tcPr>
          <w:p>
            <w:pPr>
              <w:pStyle w:val="10"/>
              <w:spacing w:before="0" w:beforeAutospacing="0" w:after="0" w:afterAutospacing="0"/>
              <w:jc w:val="center"/>
              <w:rPr>
                <w:rFonts w:ascii="Times New Roman" w:hAnsi="Times New Roman" w:cs="Times New Roman"/>
                <w:sz w:val="21"/>
                <w:szCs w:val="21"/>
              </w:rPr>
            </w:pPr>
            <w:r>
              <w:rPr>
                <w:rStyle w:val="14"/>
                <w:rFonts w:hint="eastAsia" w:ascii="Times New Roman" w:hAnsi="Times New Roman" w:cs="Times New Roman"/>
                <w:bCs/>
                <w:sz w:val="21"/>
                <w:szCs w:val="21"/>
              </w:rPr>
              <w:t>竹类</w:t>
            </w:r>
          </w:p>
        </w:tc>
        <w:tc>
          <w:tcPr>
            <w:tcW w:w="4271" w:type="pct"/>
            <w:tcBorders>
              <w:top w:val="single" w:color="auto" w:sz="4" w:space="0"/>
              <w:left w:val="single" w:color="auto" w:sz="4" w:space="0"/>
              <w:bottom w:val="single" w:color="auto" w:sz="4" w:space="0"/>
              <w:right w:val="single" w:color="auto" w:sz="4" w:space="0"/>
            </w:tcBorders>
            <w:noWrap w:val="0"/>
            <w:vAlign w:val="center"/>
          </w:tcPr>
          <w:p>
            <w:pPr>
              <w:pStyle w:val="10"/>
              <w:spacing w:before="0" w:beforeAutospacing="0" w:after="0" w:afterAutospacing="0"/>
              <w:jc w:val="both"/>
              <w:rPr>
                <w:rFonts w:ascii="Times New Roman" w:hAnsi="Times New Roman" w:cs="Times New Roman"/>
                <w:sz w:val="21"/>
                <w:szCs w:val="21"/>
              </w:rPr>
            </w:pPr>
            <w:r>
              <w:rPr>
                <w:rFonts w:hint="eastAsia" w:ascii="Times New Roman" w:hAnsi="Times New Roman" w:cs="Times New Roman"/>
                <w:sz w:val="21"/>
                <w:szCs w:val="21"/>
              </w:rPr>
              <w:t>黄金间碧玉竹、青皮竹、孝顺竹、凤尾竹、毛竹、佛肚竹、粉单竹、方竹、龟甲竹、紫竹、小琴丝竹、吊丝竹、茶杆竹、撑篙竹、麻竹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cantSplit/>
          <w:trHeight w:val="794" w:hRule="atLeast"/>
          <w:jc w:val="center"/>
        </w:trPr>
        <w:tc>
          <w:tcPr>
            <w:tcW w:w="729" w:type="pct"/>
            <w:tcBorders>
              <w:top w:val="single" w:color="auto" w:sz="4" w:space="0"/>
              <w:left w:val="single" w:color="auto" w:sz="4" w:space="0"/>
              <w:bottom w:val="single" w:color="auto" w:sz="4" w:space="0"/>
              <w:right w:val="single" w:color="auto" w:sz="4" w:space="0"/>
            </w:tcBorders>
            <w:noWrap w:val="0"/>
            <w:vAlign w:val="center"/>
          </w:tcPr>
          <w:p>
            <w:pPr>
              <w:pStyle w:val="10"/>
              <w:spacing w:before="0" w:beforeAutospacing="0" w:after="0" w:afterAutospacing="0"/>
              <w:jc w:val="center"/>
              <w:rPr>
                <w:rFonts w:ascii="Times New Roman" w:hAnsi="Times New Roman" w:cs="Times New Roman"/>
                <w:sz w:val="21"/>
                <w:szCs w:val="21"/>
              </w:rPr>
            </w:pPr>
            <w:r>
              <w:rPr>
                <w:rStyle w:val="14"/>
                <w:rFonts w:hint="eastAsia" w:ascii="Times New Roman" w:hAnsi="Times New Roman" w:cs="Times New Roman"/>
                <w:bCs/>
                <w:sz w:val="21"/>
                <w:szCs w:val="21"/>
              </w:rPr>
              <w:t>观叶灌木</w:t>
            </w:r>
          </w:p>
        </w:tc>
        <w:tc>
          <w:tcPr>
            <w:tcW w:w="4271" w:type="pct"/>
            <w:tcBorders>
              <w:top w:val="single" w:color="auto" w:sz="4" w:space="0"/>
              <w:left w:val="single" w:color="auto" w:sz="4" w:space="0"/>
              <w:bottom w:val="single" w:color="auto" w:sz="4" w:space="0"/>
              <w:right w:val="single" w:color="auto" w:sz="4" w:space="0"/>
            </w:tcBorders>
            <w:noWrap w:val="0"/>
            <w:vAlign w:val="center"/>
          </w:tcPr>
          <w:p>
            <w:pPr>
              <w:pStyle w:val="10"/>
              <w:spacing w:before="0" w:beforeAutospacing="0" w:after="0" w:afterAutospacing="0"/>
              <w:jc w:val="both"/>
              <w:rPr>
                <w:rFonts w:ascii="Times New Roman" w:hAnsi="Times New Roman" w:cs="Times New Roman"/>
                <w:sz w:val="21"/>
                <w:szCs w:val="21"/>
              </w:rPr>
            </w:pPr>
            <w:r>
              <w:rPr>
                <w:rFonts w:hint="eastAsia" w:ascii="Times New Roman" w:hAnsi="Times New Roman" w:cs="Times New Roman"/>
                <w:sz w:val="21"/>
                <w:szCs w:val="21"/>
              </w:rPr>
              <w:t>千头柏、南天竹、俏黄栌、八角金盘、鹅掌柴、驳骨丹、福建茶、金叶假连翘、花叶假连翘、红花继木、毛杜鹃、夏鹃、锦绣杜鹃、龙血树、龙舌兰、剑麻、龙舌兰、红千层、黄金榕、米仔兰、九里香、红背桂、变叶木、红桑、含笑、非洲茉莉、洒金珊瑚、垂叶榕、尖叶木樨榄、福建茶、无花果、驳骨丹、银叶金合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cantSplit/>
          <w:trHeight w:val="794" w:hRule="atLeast"/>
          <w:jc w:val="center"/>
        </w:trPr>
        <w:tc>
          <w:tcPr>
            <w:tcW w:w="729" w:type="pct"/>
            <w:tcBorders>
              <w:top w:val="single" w:color="auto" w:sz="4" w:space="0"/>
              <w:left w:val="single" w:color="auto" w:sz="4" w:space="0"/>
              <w:bottom w:val="single" w:color="auto" w:sz="4" w:space="0"/>
              <w:right w:val="single" w:color="auto" w:sz="4" w:space="0"/>
            </w:tcBorders>
            <w:noWrap w:val="0"/>
            <w:vAlign w:val="center"/>
          </w:tcPr>
          <w:p>
            <w:pPr>
              <w:pStyle w:val="10"/>
              <w:spacing w:before="0" w:beforeAutospacing="0" w:after="0" w:afterAutospacing="0"/>
              <w:jc w:val="center"/>
              <w:rPr>
                <w:rFonts w:ascii="Times New Roman" w:hAnsi="Times New Roman" w:cs="Times New Roman"/>
                <w:sz w:val="21"/>
                <w:szCs w:val="21"/>
              </w:rPr>
            </w:pPr>
            <w:r>
              <w:rPr>
                <w:rStyle w:val="14"/>
                <w:rFonts w:hint="eastAsia" w:ascii="Times New Roman" w:hAnsi="Times New Roman" w:cs="Times New Roman"/>
                <w:bCs/>
                <w:sz w:val="21"/>
                <w:szCs w:val="21"/>
              </w:rPr>
              <w:t>观花灌木</w:t>
            </w:r>
          </w:p>
        </w:tc>
        <w:tc>
          <w:tcPr>
            <w:tcW w:w="4271" w:type="pct"/>
            <w:tcBorders>
              <w:top w:val="single" w:color="auto" w:sz="4" w:space="0"/>
              <w:left w:val="single" w:color="auto" w:sz="4" w:space="0"/>
              <w:bottom w:val="single" w:color="auto" w:sz="4" w:space="0"/>
              <w:right w:val="single" w:color="auto" w:sz="4" w:space="0"/>
            </w:tcBorders>
            <w:noWrap w:val="0"/>
            <w:vAlign w:val="center"/>
          </w:tcPr>
          <w:p>
            <w:pPr>
              <w:pStyle w:val="10"/>
              <w:spacing w:before="0" w:beforeAutospacing="0" w:after="0" w:afterAutospacing="0"/>
              <w:jc w:val="both"/>
              <w:rPr>
                <w:rFonts w:ascii="Times New Roman" w:hAnsi="Times New Roman" w:cs="Times New Roman"/>
                <w:sz w:val="21"/>
                <w:szCs w:val="21"/>
              </w:rPr>
            </w:pPr>
            <w:r>
              <w:rPr>
                <w:rFonts w:hint="eastAsia" w:ascii="Times New Roman" w:hAnsi="Times New Roman" w:cs="Times New Roman"/>
                <w:sz w:val="21"/>
                <w:szCs w:val="21"/>
              </w:rPr>
              <w:t>一品红、金枝玉叶、红绒球、狗牙花、金花茶、龙船花、黄虾花、希茉莉、大红花、木芙蓉、木槿、山茶、油茶、夹竹桃、黄花夹竹桃、扶桑、吊灯花、毛杜鹃、西洋杜鹃、双荚决明、小叶紫薇、叶子花、野牡丹、茉莉花、大花栀子、叶子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cantSplit/>
          <w:trHeight w:val="794" w:hRule="atLeast"/>
          <w:jc w:val="center"/>
        </w:trPr>
        <w:tc>
          <w:tcPr>
            <w:tcW w:w="729" w:type="pct"/>
            <w:tcBorders>
              <w:top w:val="single" w:color="auto" w:sz="4" w:space="0"/>
              <w:left w:val="single" w:color="auto" w:sz="4" w:space="0"/>
              <w:bottom w:val="single" w:color="auto" w:sz="4" w:space="0"/>
              <w:right w:val="single" w:color="auto" w:sz="4" w:space="0"/>
            </w:tcBorders>
            <w:noWrap w:val="0"/>
            <w:vAlign w:val="center"/>
          </w:tcPr>
          <w:p>
            <w:pPr>
              <w:pStyle w:val="10"/>
              <w:jc w:val="center"/>
              <w:rPr>
                <w:rFonts w:ascii="Times New Roman" w:hAnsi="Times New Roman" w:cs="Times New Roman"/>
                <w:sz w:val="21"/>
                <w:szCs w:val="21"/>
              </w:rPr>
            </w:pPr>
            <w:r>
              <w:rPr>
                <w:rStyle w:val="14"/>
                <w:rFonts w:hint="eastAsia" w:ascii="Times New Roman" w:hAnsi="Times New Roman" w:cs="Times New Roman"/>
                <w:bCs/>
                <w:sz w:val="21"/>
                <w:szCs w:val="21"/>
              </w:rPr>
              <w:t>地被</w:t>
            </w:r>
          </w:p>
        </w:tc>
        <w:tc>
          <w:tcPr>
            <w:tcW w:w="4271" w:type="pct"/>
            <w:tcBorders>
              <w:top w:val="single" w:color="auto" w:sz="4" w:space="0"/>
              <w:left w:val="single" w:color="auto" w:sz="4" w:space="0"/>
              <w:bottom w:val="single" w:color="auto" w:sz="4" w:space="0"/>
              <w:right w:val="single" w:color="auto" w:sz="4" w:space="0"/>
            </w:tcBorders>
            <w:noWrap w:val="0"/>
            <w:vAlign w:val="center"/>
          </w:tcPr>
          <w:p>
            <w:pPr>
              <w:pStyle w:val="10"/>
              <w:spacing w:before="0" w:beforeAutospacing="0" w:after="0" w:afterAutospacing="0"/>
              <w:jc w:val="both"/>
              <w:rPr>
                <w:rFonts w:ascii="Times New Roman" w:hAnsi="Times New Roman" w:cs="Times New Roman"/>
                <w:sz w:val="21"/>
                <w:szCs w:val="21"/>
              </w:rPr>
            </w:pPr>
            <w:r>
              <w:rPr>
                <w:rFonts w:hint="eastAsia" w:ascii="Times New Roman" w:hAnsi="Times New Roman" w:cs="Times New Roman"/>
                <w:sz w:val="21"/>
                <w:szCs w:val="21"/>
              </w:rPr>
              <w:t>合果芋、朱蕉、姜花、文殊兰、春羽、龟背竹、鸢尾、美人蕉、蜘蛛兰、吊竹梅、肾蕨、冷水花、沿阶草、细叶结缕草、马尼拉草大叶油草、彩叶草、细叶美女樱、红绿草、葱兰、韭兰、花叶良姜、翠芦莉、长春花、紫雪茄花、蟛蜞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cantSplit/>
          <w:trHeight w:val="794" w:hRule="atLeast"/>
          <w:jc w:val="center"/>
        </w:trPr>
        <w:tc>
          <w:tcPr>
            <w:tcW w:w="729" w:type="pct"/>
            <w:tcBorders>
              <w:top w:val="single" w:color="auto" w:sz="4" w:space="0"/>
              <w:left w:val="single" w:color="auto" w:sz="4" w:space="0"/>
              <w:bottom w:val="single" w:color="auto" w:sz="4" w:space="0"/>
              <w:right w:val="single" w:color="auto" w:sz="4" w:space="0"/>
            </w:tcBorders>
            <w:noWrap w:val="0"/>
            <w:vAlign w:val="center"/>
          </w:tcPr>
          <w:p>
            <w:pPr>
              <w:pStyle w:val="10"/>
              <w:jc w:val="center"/>
              <w:rPr>
                <w:rFonts w:ascii="Times New Roman" w:hAnsi="Times New Roman" w:cs="Times New Roman"/>
                <w:sz w:val="21"/>
                <w:szCs w:val="21"/>
              </w:rPr>
            </w:pPr>
            <w:r>
              <w:rPr>
                <w:rStyle w:val="14"/>
                <w:rFonts w:hint="eastAsia" w:ascii="Times New Roman" w:hAnsi="Times New Roman" w:cs="Times New Roman"/>
                <w:bCs/>
                <w:sz w:val="21"/>
                <w:szCs w:val="21"/>
              </w:rPr>
              <w:t>藤本</w:t>
            </w:r>
          </w:p>
        </w:tc>
        <w:tc>
          <w:tcPr>
            <w:tcW w:w="4271" w:type="pct"/>
            <w:tcBorders>
              <w:top w:val="single" w:color="auto" w:sz="4" w:space="0"/>
              <w:left w:val="single" w:color="auto" w:sz="4" w:space="0"/>
              <w:bottom w:val="single" w:color="auto" w:sz="4" w:space="0"/>
              <w:right w:val="single" w:color="auto" w:sz="4" w:space="0"/>
            </w:tcBorders>
            <w:noWrap w:val="0"/>
            <w:vAlign w:val="center"/>
          </w:tcPr>
          <w:p>
            <w:pPr>
              <w:pStyle w:val="10"/>
              <w:spacing w:before="0" w:beforeAutospacing="0" w:after="0" w:afterAutospacing="0"/>
              <w:jc w:val="both"/>
              <w:rPr>
                <w:rFonts w:ascii="Times New Roman" w:hAnsi="Times New Roman" w:cs="Times New Roman"/>
                <w:sz w:val="21"/>
                <w:szCs w:val="21"/>
              </w:rPr>
            </w:pPr>
            <w:r>
              <w:rPr>
                <w:rFonts w:hint="eastAsia" w:ascii="Times New Roman" w:hAnsi="Times New Roman" w:cs="Times New Roman"/>
                <w:sz w:val="21"/>
                <w:szCs w:val="21"/>
              </w:rPr>
              <w:t>鹰爪花、百香果、猕猴桃、多花紫藤、异叶爬墙虎、软枝黄蝉、金银花、大花老鸭嘴、使君子、珊瑚藤、爬山虎、炮仗花、白花油麻藤、扶芳藤、中华常春藤、绿萝、麒麟尾、凌霄、藤本勒杜鹃、西番莲、蒜香藤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cantSplit/>
          <w:trHeight w:val="794" w:hRule="atLeast"/>
          <w:jc w:val="center"/>
        </w:trPr>
        <w:tc>
          <w:tcPr>
            <w:tcW w:w="729" w:type="pct"/>
            <w:tcBorders>
              <w:top w:val="single" w:color="auto" w:sz="4" w:space="0"/>
              <w:left w:val="single" w:color="auto" w:sz="4" w:space="0"/>
              <w:bottom w:val="single" w:color="auto" w:sz="4" w:space="0"/>
              <w:right w:val="single" w:color="auto" w:sz="4" w:space="0"/>
            </w:tcBorders>
            <w:noWrap w:val="0"/>
            <w:vAlign w:val="center"/>
          </w:tcPr>
          <w:p>
            <w:pPr>
              <w:pStyle w:val="10"/>
              <w:spacing w:before="0" w:beforeAutospacing="0" w:after="0" w:afterAutospacing="0"/>
              <w:jc w:val="center"/>
              <w:rPr>
                <w:rFonts w:ascii="Times New Roman" w:hAnsi="Times New Roman" w:cs="Times New Roman"/>
                <w:sz w:val="21"/>
                <w:szCs w:val="21"/>
              </w:rPr>
            </w:pPr>
            <w:r>
              <w:rPr>
                <w:rStyle w:val="14"/>
                <w:rFonts w:hint="eastAsia" w:ascii="Times New Roman" w:hAnsi="Times New Roman" w:cs="Times New Roman"/>
                <w:bCs/>
                <w:sz w:val="21"/>
                <w:szCs w:val="21"/>
              </w:rPr>
              <w:t>时花</w:t>
            </w:r>
          </w:p>
        </w:tc>
        <w:tc>
          <w:tcPr>
            <w:tcW w:w="4271" w:type="pct"/>
            <w:tcBorders>
              <w:top w:val="single" w:color="auto" w:sz="4" w:space="0"/>
              <w:left w:val="single" w:color="auto" w:sz="4" w:space="0"/>
              <w:bottom w:val="single" w:color="auto" w:sz="4" w:space="0"/>
              <w:right w:val="single" w:color="auto" w:sz="4" w:space="0"/>
            </w:tcBorders>
            <w:noWrap w:val="0"/>
            <w:vAlign w:val="center"/>
          </w:tcPr>
          <w:p>
            <w:pPr>
              <w:pStyle w:val="10"/>
              <w:spacing w:before="0" w:beforeAutospacing="0" w:after="0" w:afterAutospacing="0"/>
              <w:jc w:val="both"/>
              <w:rPr>
                <w:rFonts w:ascii="Times New Roman" w:hAnsi="Times New Roman" w:cs="Times New Roman"/>
                <w:sz w:val="21"/>
                <w:szCs w:val="21"/>
              </w:rPr>
            </w:pPr>
            <w:r>
              <w:rPr>
                <w:rFonts w:hint="eastAsia" w:ascii="Times New Roman" w:hAnsi="Times New Roman" w:cs="Times New Roman"/>
                <w:sz w:val="21"/>
                <w:szCs w:val="21"/>
              </w:rPr>
              <w:t>繁星花、非洲凤仙花、香彩雀、夏堇、鸡冠花、四季秋海棠、一串红、蓝花鼠尾草、矮牵牛、杂交石竹、羽衣甘蓝、孔雀草、万寿菊、千日红、百日草、</w:t>
            </w:r>
          </w:p>
        </w:tc>
      </w:tr>
    </w:tbl>
    <w:p>
      <w:pPr>
        <w:spacing w:line="360" w:lineRule="auto"/>
        <w:jc w:val="left"/>
        <w:rPr>
          <w:sz w:val="24"/>
          <w:szCs w:val="24"/>
        </w:rPr>
      </w:pPr>
    </w:p>
    <w:p>
      <w:pPr>
        <w:spacing w:line="360" w:lineRule="auto"/>
        <w:ind w:firstLine="480" w:firstLineChars="200"/>
        <w:jc w:val="left"/>
        <w:rPr>
          <w:sz w:val="24"/>
          <w:szCs w:val="24"/>
        </w:rPr>
      </w:pPr>
      <w:r>
        <w:rPr>
          <w:rFonts w:hint="eastAsia"/>
          <w:sz w:val="24"/>
          <w:szCs w:val="24"/>
        </w:rPr>
        <w:t>本条的评价方法为：预评价查阅相关设计文件（苗木表、屋顶绿化、覆土绿化和／或垂直绿化的区域及面积、种植区域的覆土深度、排水设计）；评价查阅相关竣工图、苗木采购清单。</w:t>
      </w:r>
    </w:p>
    <w:p>
      <w:pPr>
        <w:spacing w:line="360" w:lineRule="auto"/>
        <w:jc w:val="left"/>
        <w:rPr>
          <w:rFonts w:hint="eastAsia"/>
          <w:sz w:val="24"/>
          <w:szCs w:val="24"/>
        </w:rPr>
      </w:pPr>
      <w:r>
        <w:rPr>
          <w:rFonts w:hint="eastAsia"/>
          <w:b/>
          <w:sz w:val="24"/>
          <w:szCs w:val="24"/>
        </w:rPr>
        <w:t>8.1.</w:t>
      </w:r>
      <w:r>
        <w:rPr>
          <w:rFonts w:ascii="Times-Roman" w:hAnsi="Times-Roman" w:eastAsia="Times-Roman" w:cs="Times-Roman"/>
          <w:b/>
          <w:kern w:val="0"/>
          <w:sz w:val="29"/>
          <w:szCs w:val="29"/>
          <w:lang w:bidi="ar"/>
        </w:rPr>
        <w:t xml:space="preserve">4 </w:t>
      </w:r>
      <w:r>
        <w:rPr>
          <w:rFonts w:hint="eastAsia"/>
          <w:sz w:val="24"/>
          <w:szCs w:val="24"/>
        </w:rPr>
        <w:t xml:space="preserve">本条适用于各类民用建筑的预评价、评价。 </w:t>
      </w:r>
    </w:p>
    <w:p>
      <w:pPr>
        <w:spacing w:line="360" w:lineRule="auto"/>
        <w:ind w:firstLine="480" w:firstLineChars="200"/>
        <w:jc w:val="left"/>
        <w:rPr>
          <w:rFonts w:hint="eastAsia"/>
          <w:sz w:val="24"/>
          <w:szCs w:val="24"/>
        </w:rPr>
      </w:pPr>
      <w:r>
        <w:rPr>
          <w:sz w:val="24"/>
          <w:szCs w:val="24"/>
        </w:rPr>
        <w:t>本条在本标准 201</w:t>
      </w:r>
      <w:r>
        <w:rPr>
          <w:rFonts w:hint="eastAsia"/>
          <w:sz w:val="24"/>
          <w:szCs w:val="24"/>
        </w:rPr>
        <w:t>6</w:t>
      </w:r>
      <w:r>
        <w:rPr>
          <w:sz w:val="24"/>
          <w:szCs w:val="24"/>
        </w:rPr>
        <w:t>年版第 4.2. 13 条的基础上发展而来。国务院办公厅 2015</w:t>
      </w:r>
      <w:r>
        <w:rPr>
          <w:rFonts w:hint="eastAsia"/>
          <w:sz w:val="24"/>
          <w:szCs w:val="24"/>
        </w:rPr>
        <w:t>年</w:t>
      </w:r>
      <w:r>
        <w:rPr>
          <w:sz w:val="24"/>
          <w:szCs w:val="24"/>
        </w:rPr>
        <w:t xml:space="preserve">10月印发的《关于推进海绵城市建设的指导意见》指出，建设海绵城市，统筹发挥自然生态功能和人工干预功能，有效控制雨水径流，实现自然积存、自然渗透、自然净化的城市发展方式，有利于修复城市水生态、涵养水资源，增强城市防滞能力，扩大公共产品有效投资，提高新型城镇化质量，促进人与自然和谐发展。建海绵城市就要有“海绵体”。城市“海绵体”既包括河、湖、池塘等水系，也包括绿地、花园、可渗透路面这样的城市配套设施。雨水通过这些“海绵体”下渗、滞蓄、净化、回用，最后剩余部分径流通过管网、泵站外排，缓减城市内浩的压力。 </w:t>
      </w:r>
    </w:p>
    <w:p>
      <w:pPr>
        <w:spacing w:line="360" w:lineRule="auto"/>
        <w:ind w:firstLine="480" w:firstLineChars="200"/>
        <w:jc w:val="left"/>
        <w:rPr>
          <w:rFonts w:hint="eastAsia"/>
          <w:sz w:val="24"/>
          <w:szCs w:val="24"/>
        </w:rPr>
      </w:pPr>
      <w:r>
        <w:rPr>
          <w:sz w:val="24"/>
          <w:szCs w:val="24"/>
        </w:rPr>
        <w:t>需要说明的是，本条作为控制项，在执行时要正确理解其要求：</w:t>
      </w:r>
      <w:r>
        <w:rPr>
          <w:rFonts w:hint="eastAsia"/>
          <w:sz w:val="24"/>
          <w:szCs w:val="24"/>
        </w:rPr>
        <w:t>①</w:t>
      </w:r>
      <w:r>
        <w:rPr>
          <w:sz w:val="24"/>
          <w:szCs w:val="24"/>
        </w:rPr>
        <w:t>无论是在水资源丰富的地区还是在水资源贫乏的地区，进行建设场地的竖向设计的目的之一是防止因降雨导致场地积水或内滂。现行行业标准《城乡建设用地竖向规划规范》 CJJ 83对此也是有明确要求。</w:t>
      </w:r>
      <w:r>
        <w:rPr>
          <w:rFonts w:hint="eastAsia"/>
          <w:sz w:val="24"/>
          <w:szCs w:val="24"/>
        </w:rPr>
        <w:t>②</w:t>
      </w:r>
      <w:r>
        <w:rPr>
          <w:sz w:val="24"/>
          <w:szCs w:val="24"/>
        </w:rPr>
        <w:t>在竖向设计时，到底是有利千雨水收集还是排放．是有选择的，由具体项目及所在地决定。</w:t>
      </w:r>
      <w:r>
        <w:rPr>
          <w:rFonts w:hint="eastAsia"/>
          <w:sz w:val="24"/>
          <w:szCs w:val="24"/>
        </w:rPr>
        <w:t>③</w:t>
      </w:r>
      <w:r>
        <w:rPr>
          <w:sz w:val="24"/>
          <w:szCs w:val="24"/>
        </w:rPr>
        <w:t xml:space="preserve">按照国家推进海绵城市建设的部署，无论是年降雨量丰富的地区还是116 较少的地区，通过场地竖向设计使雨水下渗，或者滞蓄，或者再利用，都是不难做到的。 </w:t>
      </w:r>
    </w:p>
    <w:p>
      <w:pPr>
        <w:spacing w:line="360" w:lineRule="auto"/>
        <w:ind w:firstLine="480" w:firstLineChars="200"/>
        <w:jc w:val="left"/>
        <w:rPr>
          <w:rFonts w:hint="eastAsia"/>
          <w:sz w:val="24"/>
          <w:szCs w:val="24"/>
        </w:rPr>
      </w:pPr>
      <w:r>
        <w:rPr>
          <w:sz w:val="24"/>
          <w:szCs w:val="24"/>
        </w:rPr>
        <w:t>对大于 10hm</w:t>
      </w:r>
      <w:r>
        <w:rPr>
          <w:sz w:val="24"/>
          <w:szCs w:val="24"/>
          <w:vertAlign w:val="superscript"/>
        </w:rPr>
        <w:t>2</w:t>
      </w:r>
      <w:r>
        <w:rPr>
          <w:sz w:val="24"/>
          <w:szCs w:val="24"/>
        </w:rPr>
        <w:t xml:space="preserve"> 的场地，应进行雨水控制与利用专项设计，避免实际工程中针对某个子系统（雨水利用、径流减排、污染控制等）进行独立设计所带来的诸多资源配置和统筹衔接不当的问题。具体评价时，场地占地面积大于10hm</w:t>
      </w:r>
      <w:r>
        <w:rPr>
          <w:sz w:val="24"/>
          <w:szCs w:val="24"/>
          <w:vertAlign w:val="superscript"/>
        </w:rPr>
        <w:t>2</w:t>
      </w:r>
      <w:r>
        <w:rPr>
          <w:sz w:val="24"/>
          <w:szCs w:val="24"/>
        </w:rPr>
        <w:t>而的项目，应提供雨水专项设计文件；小于10hm</w:t>
      </w:r>
      <w:r>
        <w:rPr>
          <w:sz w:val="24"/>
          <w:szCs w:val="24"/>
          <w:vertAlign w:val="superscript"/>
        </w:rPr>
        <w:t>2</w:t>
      </w:r>
      <w:r>
        <w:rPr>
          <w:sz w:val="24"/>
          <w:szCs w:val="24"/>
        </w:rPr>
        <w:t xml:space="preserve">而的项目可不做雨水专项设计，但也应根据场地条件合理采用雨水控制利用措施，编制场地雨水综合控制利用方案。 </w:t>
      </w:r>
    </w:p>
    <w:p>
      <w:pPr>
        <w:spacing w:line="360" w:lineRule="auto"/>
        <w:ind w:firstLine="480" w:firstLineChars="200"/>
        <w:jc w:val="left"/>
        <w:rPr>
          <w:sz w:val="24"/>
          <w:szCs w:val="24"/>
        </w:rPr>
      </w:pPr>
      <w:r>
        <w:rPr>
          <w:sz w:val="24"/>
          <w:szCs w:val="24"/>
        </w:rPr>
        <w:t>本条的评价方法为：预评价查阅相关设计文件（场地竖向设计文件）、年径流总量控制率计算书、设计控制雨量计算书、场地雨水综合利用方案或专项设计文件；评价查阅相关竣工图、年径流总量控制率计算书、设计控制雨量计算书、场地雨水综合利用方案或专项设计文件。</w:t>
      </w:r>
    </w:p>
    <w:p>
      <w:pPr>
        <w:spacing w:line="360" w:lineRule="auto"/>
        <w:jc w:val="left"/>
        <w:rPr>
          <w:sz w:val="24"/>
          <w:szCs w:val="24"/>
        </w:rPr>
      </w:pPr>
      <w:r>
        <w:rPr>
          <w:rFonts w:hint="eastAsia"/>
          <w:b/>
          <w:sz w:val="24"/>
          <w:szCs w:val="24"/>
        </w:rPr>
        <w:t xml:space="preserve">8.1.5  </w:t>
      </w:r>
      <w:r>
        <w:rPr>
          <w:rFonts w:hint="eastAsia"/>
          <w:sz w:val="24"/>
          <w:szCs w:val="24"/>
        </w:rPr>
        <w:t>本条适用于各类民用建筑的预评价、评价。</w:t>
      </w:r>
    </w:p>
    <w:p>
      <w:pPr>
        <w:spacing w:line="360" w:lineRule="auto"/>
        <w:ind w:firstLine="480" w:firstLineChars="200"/>
        <w:jc w:val="left"/>
        <w:rPr>
          <w:sz w:val="24"/>
          <w:szCs w:val="24"/>
        </w:rPr>
      </w:pPr>
      <w:r>
        <w:rPr>
          <w:rFonts w:hint="eastAsia"/>
          <w:sz w:val="24"/>
          <w:szCs w:val="24"/>
        </w:rPr>
        <w:t>本条为新增条文。设置便于识别和使用的标识系统，包括导向标识和定位标识等，能够为建筑使用者带来便捷的使用体验。标识一般有人车分流标识、公共交通接驳引导标识、易于老年人识别的标识、满足儿童使用需求与身高匹配的标识、无障碍标识、楼座及配套设施定位标识、健身慢行道导向标识、健身楼梯间导向标识、公共卫生间导向标识，以及其他促进建筑便捷使用的导向标识等。公共建筑的标识系统应当执行现行国家标准《公共建筑标识系统技术规范》GB/T51223,住宅建筑可以参照执行。</w:t>
      </w:r>
    </w:p>
    <w:p>
      <w:pPr>
        <w:spacing w:line="360" w:lineRule="auto"/>
        <w:ind w:firstLine="480" w:firstLineChars="200"/>
        <w:jc w:val="left"/>
        <w:rPr>
          <w:sz w:val="24"/>
          <w:szCs w:val="24"/>
        </w:rPr>
      </w:pPr>
      <w:r>
        <w:rPr>
          <w:rFonts w:hint="eastAsia"/>
          <w:sz w:val="24"/>
          <w:szCs w:val="24"/>
        </w:rPr>
        <w:t>在标识系统设计和设置时，应考虑建筑使用者的识别习惯通过色彩、形式、字体、符号等整体进行设计，形成统一性和可辨识度。并考虑老年人、残障人士、儿童等不同人群对于标识的识别和感知的方式，例如，老年人由于视觉能力下降，需要采用较大的文字、较易识别的色彩系统等，儿童由于身高较低、识字量不够等，需要采用高度适合、色彩与图形化结合等方式的识别系统等。因此，提出根据不同使用人群特点设置适宜的标识引导系统，体现出对不同人群的关爱。</w:t>
      </w:r>
    </w:p>
    <w:p>
      <w:pPr>
        <w:spacing w:line="360" w:lineRule="auto"/>
        <w:ind w:firstLine="480" w:firstLineChars="200"/>
        <w:jc w:val="left"/>
        <w:rPr>
          <w:sz w:val="24"/>
          <w:szCs w:val="24"/>
        </w:rPr>
      </w:pPr>
      <w:r>
        <w:rPr>
          <w:rFonts w:hint="eastAsia"/>
          <w:sz w:val="24"/>
          <w:szCs w:val="24"/>
        </w:rPr>
        <w:t>同时，为便于标识识别，应在场地内显著位置上设置标识，标识应反映一定区域范围内的建筑与设施分布情况，并提示当前位置等。建筑及场地的标识应沿通行路径布置，构成完整和连续的引导系统。</w:t>
      </w:r>
    </w:p>
    <w:p>
      <w:pPr>
        <w:spacing w:line="360" w:lineRule="auto"/>
        <w:ind w:firstLine="480" w:firstLineChars="200"/>
        <w:jc w:val="left"/>
        <w:rPr>
          <w:sz w:val="24"/>
          <w:szCs w:val="24"/>
        </w:rPr>
      </w:pPr>
      <w:r>
        <w:rPr>
          <w:rFonts w:hint="eastAsia"/>
          <w:sz w:val="24"/>
          <w:szCs w:val="24"/>
        </w:rPr>
        <w:t>本条的评价方法为：预评价查阅相关设计文件（标识系统设计文件）；评价查阅相关竣工图。</w:t>
      </w:r>
    </w:p>
    <w:p>
      <w:pPr>
        <w:spacing w:line="360" w:lineRule="auto"/>
        <w:jc w:val="left"/>
        <w:rPr>
          <w:sz w:val="24"/>
          <w:szCs w:val="24"/>
        </w:rPr>
      </w:pPr>
      <w:r>
        <w:rPr>
          <w:rFonts w:hint="eastAsia"/>
          <w:b/>
          <w:sz w:val="24"/>
          <w:szCs w:val="24"/>
        </w:rPr>
        <w:t xml:space="preserve">8.1.6  </w:t>
      </w:r>
      <w:r>
        <w:rPr>
          <w:rFonts w:hint="eastAsia"/>
          <w:sz w:val="24"/>
          <w:szCs w:val="24"/>
        </w:rPr>
        <w:t>本条适用于各类民用建筑的预评价、评价。</w:t>
      </w:r>
    </w:p>
    <w:p>
      <w:pPr>
        <w:spacing w:line="360" w:lineRule="auto"/>
        <w:ind w:firstLine="480" w:firstLineChars="200"/>
        <w:jc w:val="left"/>
        <w:rPr>
          <w:sz w:val="24"/>
          <w:szCs w:val="24"/>
        </w:rPr>
      </w:pPr>
      <w:r>
        <w:rPr>
          <w:rFonts w:hint="eastAsia"/>
          <w:sz w:val="24"/>
          <w:szCs w:val="24"/>
        </w:rPr>
        <w:t>本条沿用本标准2016年版第4.1.3条。建筑场地内不应存在未达标排放或者超标排放的气态、液态或固态的污染源，例如：易产生噪声的运动和营业场所，油烟未达标排放的厨房，煤气或工业废气超标排放的燃煤锅炉房，污染物排放超标的垃圾堆等。若有污染源应积极采取相应的治理措施并达到无超标污染物排放的要求。</w:t>
      </w:r>
    </w:p>
    <w:p>
      <w:pPr>
        <w:spacing w:line="360" w:lineRule="auto"/>
        <w:ind w:firstLine="480" w:firstLineChars="200"/>
        <w:jc w:val="left"/>
        <w:rPr>
          <w:sz w:val="24"/>
          <w:szCs w:val="24"/>
        </w:rPr>
      </w:pPr>
      <w:r>
        <w:rPr>
          <w:rFonts w:hint="eastAsia"/>
          <w:sz w:val="24"/>
          <w:szCs w:val="24"/>
        </w:rPr>
        <w:t>本条的评价方法为：预评价查阅环评报告、治理措施分析报告；评价查阅环评报告、治理措施分析报告。</w:t>
      </w:r>
    </w:p>
    <w:p>
      <w:pPr>
        <w:spacing w:line="360" w:lineRule="auto"/>
        <w:jc w:val="left"/>
        <w:rPr>
          <w:sz w:val="24"/>
          <w:szCs w:val="24"/>
        </w:rPr>
      </w:pPr>
      <w:r>
        <w:rPr>
          <w:rFonts w:hint="eastAsia"/>
          <w:b/>
          <w:sz w:val="24"/>
          <w:szCs w:val="24"/>
        </w:rPr>
        <w:t xml:space="preserve">8.1.7  </w:t>
      </w:r>
      <w:r>
        <w:rPr>
          <w:rFonts w:hint="eastAsia"/>
          <w:sz w:val="24"/>
          <w:szCs w:val="24"/>
        </w:rPr>
        <w:t>本条适用于各类民用建筑的预评价、评价。</w:t>
      </w:r>
    </w:p>
    <w:p>
      <w:pPr>
        <w:spacing w:line="360" w:lineRule="auto"/>
        <w:ind w:firstLine="480" w:firstLineChars="200"/>
        <w:jc w:val="left"/>
        <w:rPr>
          <w:sz w:val="24"/>
          <w:szCs w:val="24"/>
        </w:rPr>
      </w:pPr>
      <w:r>
        <w:rPr>
          <w:rFonts w:hint="eastAsia"/>
          <w:sz w:val="24"/>
          <w:szCs w:val="24"/>
        </w:rPr>
        <w:t>本条在本标准2016年版第10.1.2条、第10.2.12条、第10.2.13条基础上发展而来。建筑设计时应合理规划和设置垃圾收集设施，评价时应制定垃圾分类收集管理制度。</w:t>
      </w:r>
    </w:p>
    <w:p>
      <w:pPr>
        <w:spacing w:line="360" w:lineRule="auto"/>
        <w:ind w:firstLine="480" w:firstLineChars="200"/>
        <w:jc w:val="left"/>
        <w:rPr>
          <w:sz w:val="24"/>
          <w:szCs w:val="24"/>
        </w:rPr>
      </w:pPr>
      <w:r>
        <w:rPr>
          <w:rFonts w:hint="eastAsia"/>
          <w:sz w:val="24"/>
          <w:szCs w:val="24"/>
        </w:rPr>
        <w:t>本条要求根据垃圾产生量和种类合理设置垃圾分类收集设施，其中有害垃圾必须单独收集、单独清运。垃圾收集设施规格和位置应符合国家有关标准的规定，其数量、外观色彩及标志应符合垃圾分类收集的要求，并置于隐蔽、避风处，与周围景观相协调。垃圾收集设施应坚固耐用，防止垃圾无序倾倒和露天堆放。</w:t>
      </w:r>
    </w:p>
    <w:p>
      <w:pPr>
        <w:spacing w:line="360" w:lineRule="auto"/>
        <w:ind w:firstLine="480" w:firstLineChars="200"/>
        <w:jc w:val="left"/>
        <w:rPr>
          <w:sz w:val="24"/>
          <w:szCs w:val="24"/>
        </w:rPr>
      </w:pPr>
      <w:r>
        <w:rPr>
          <w:rFonts w:hint="eastAsia"/>
          <w:sz w:val="24"/>
          <w:szCs w:val="24"/>
        </w:rPr>
        <w:t>生活垃圾一般分四类，包括有害垃圾、易腐垃圾（厨余垃圾）、可回收垃圾和其他垃圾。有害垃圾主要包括：废电池（镉镍电池、氧化汞电池、铅蓄电池等），废荧光灯管(日光灯管、节能灯等），废温度计，废血压计，废药品及其包装物，废油漆、溶剂及其包装物，废杀虫剂、消毒剂及其包装物，废胶片及废相纸等。易腐垃圾（厨余垃圾）包括剩菜剩饭、骨头、菜根菜叶、果皮等可腐烂有机物。可回收垃圾主要包括：废纸，废塑料，废金属，废包装物，废旧纺织物，废弃电器电子产品，废玻璃，废纸塑铝复合包装，大件垃圾等。有害垃圾、易腐垃圾（厨余垃圾）、可回收垃圾应分别收集。</w:t>
      </w:r>
    </w:p>
    <w:p>
      <w:pPr>
        <w:spacing w:line="360" w:lineRule="auto"/>
        <w:ind w:firstLine="480" w:firstLineChars="200"/>
        <w:jc w:val="left"/>
        <w:rPr>
          <w:sz w:val="24"/>
          <w:szCs w:val="24"/>
        </w:rPr>
      </w:pPr>
      <w:r>
        <w:rPr>
          <w:rFonts w:hint="eastAsia"/>
          <w:sz w:val="24"/>
          <w:szCs w:val="24"/>
        </w:rPr>
        <w:t>同时，在垃圾容器和收集点布置时，重视垃圾容器和收集点的环境卫生与景观美化问题，做到密闭并相对位置固定，如果按规划需配垃圾收集站，应能具备定期冲洗，消杀条件，并能及时做到密闭清运。</w:t>
      </w:r>
    </w:p>
    <w:p>
      <w:pPr>
        <w:spacing w:line="360" w:lineRule="auto"/>
        <w:ind w:firstLine="480" w:firstLineChars="200"/>
        <w:jc w:val="left"/>
        <w:rPr>
          <w:sz w:val="24"/>
          <w:szCs w:val="24"/>
        </w:rPr>
      </w:pPr>
      <w:r>
        <w:rPr>
          <w:rFonts w:hint="eastAsia"/>
          <w:sz w:val="24"/>
          <w:szCs w:val="24"/>
        </w:rPr>
        <w:t>本条的评价方法为：预评价查阅相关设计文件、垃圾收集设施布置图；评价查阅相关竣工图、垃圾收集设施布置图，投入使用的项目尚应查阅相关管理制度。</w:t>
      </w:r>
    </w:p>
    <w:p>
      <w:pPr>
        <w:pStyle w:val="18"/>
        <w:spacing w:beforeLines="0" w:line="360" w:lineRule="auto"/>
        <w:ind w:firstLine="0" w:firstLineChars="0"/>
      </w:pPr>
      <w:bookmarkStart w:id="139" w:name="_Toc24543021"/>
      <w:r>
        <w:rPr>
          <w:rFonts w:hint="eastAsia"/>
        </w:rPr>
        <w:t>8.2  评 分 项</w:t>
      </w:r>
      <w:bookmarkEnd w:id="139"/>
    </w:p>
    <w:p>
      <w:pPr>
        <w:spacing w:line="360" w:lineRule="auto"/>
        <w:ind w:firstLine="560" w:firstLineChars="200"/>
        <w:jc w:val="center"/>
        <w:rPr>
          <w:rFonts w:eastAsia="仿宋"/>
          <w:sz w:val="28"/>
          <w:szCs w:val="28"/>
        </w:rPr>
      </w:pPr>
      <w:r>
        <w:rPr>
          <w:rFonts w:hint="eastAsia" w:eastAsia="仿宋"/>
          <w:sz w:val="28"/>
          <w:szCs w:val="28"/>
        </w:rPr>
        <w:t>I 场地生态与景观</w:t>
      </w:r>
    </w:p>
    <w:p>
      <w:pPr>
        <w:spacing w:line="360" w:lineRule="auto"/>
        <w:jc w:val="left"/>
        <w:rPr>
          <w:sz w:val="24"/>
          <w:szCs w:val="24"/>
        </w:rPr>
      </w:pPr>
      <w:r>
        <w:rPr>
          <w:rFonts w:hint="eastAsia"/>
          <w:b/>
          <w:sz w:val="24"/>
          <w:szCs w:val="24"/>
        </w:rPr>
        <w:t xml:space="preserve">8.2.1  </w:t>
      </w:r>
      <w:r>
        <w:rPr>
          <w:rFonts w:hint="eastAsia"/>
          <w:sz w:val="24"/>
          <w:szCs w:val="24"/>
        </w:rPr>
        <w:t>本条适用于各类民用建筑的预评价、评价。</w:t>
      </w:r>
    </w:p>
    <w:p>
      <w:pPr>
        <w:spacing w:line="360" w:lineRule="auto"/>
        <w:ind w:firstLine="480" w:firstLineChars="200"/>
        <w:jc w:val="left"/>
        <w:rPr>
          <w:rFonts w:hint="eastAsia"/>
          <w:sz w:val="24"/>
          <w:szCs w:val="24"/>
        </w:rPr>
      </w:pPr>
      <w:r>
        <w:rPr>
          <w:rFonts w:hint="eastAsia"/>
          <w:sz w:val="24"/>
          <w:szCs w:val="24"/>
        </w:rPr>
        <w:t xml:space="preserve">本条在本标准 </w:t>
      </w:r>
      <w:r>
        <w:rPr>
          <w:sz w:val="24"/>
          <w:szCs w:val="24"/>
        </w:rPr>
        <w:t>201</w:t>
      </w:r>
      <w:r>
        <w:rPr>
          <w:rFonts w:hint="eastAsia"/>
          <w:sz w:val="24"/>
          <w:szCs w:val="24"/>
        </w:rPr>
        <w:t>6</w:t>
      </w:r>
      <w:r>
        <w:rPr>
          <w:sz w:val="24"/>
          <w:szCs w:val="24"/>
        </w:rPr>
        <w:t xml:space="preserve">年版第 4.2. 12 条基础上发展而来。 </w:t>
      </w:r>
    </w:p>
    <w:p>
      <w:pPr>
        <w:spacing w:line="360" w:lineRule="auto"/>
        <w:ind w:firstLine="480" w:firstLineChars="200"/>
        <w:jc w:val="left"/>
        <w:rPr>
          <w:rFonts w:hint="eastAsia"/>
          <w:sz w:val="24"/>
          <w:szCs w:val="24"/>
        </w:rPr>
      </w:pPr>
      <w:r>
        <w:rPr>
          <w:rFonts w:hint="eastAsia"/>
          <w:sz w:val="24"/>
          <w:szCs w:val="24"/>
        </w:rPr>
        <w:t>第1</w:t>
      </w:r>
      <w:r>
        <w:rPr>
          <w:sz w:val="24"/>
          <w:szCs w:val="24"/>
        </w:rPr>
        <w:t xml:space="preserve">款，建设项目应对场地的地形和场地内可利用的资源进行勘察，充分利用原有地形地貌进行场地设计以及建筑、生态景观的布局，尽量减少土石方量，减少开发建设过程对场地及周边环境生态系统的改变，包括原有植被、水体、山体、地表行泄洪通道、滞蓄洪坑塘洼地等。在建设过程中确需改造场地内的地形、地貌、水体、植被等时，应在工程结束后及时采取生态复原措施，减少对原场地环境的改变和破坏。场地内外生态系统保持衔接，形成连贯的生态系统更有利千生态建设和保护。 </w:t>
      </w:r>
    </w:p>
    <w:p>
      <w:pPr>
        <w:spacing w:line="360" w:lineRule="auto"/>
        <w:ind w:firstLine="480" w:firstLineChars="200"/>
        <w:jc w:val="left"/>
        <w:rPr>
          <w:rFonts w:hint="eastAsia"/>
          <w:sz w:val="24"/>
          <w:szCs w:val="24"/>
        </w:rPr>
      </w:pPr>
      <w:r>
        <w:rPr>
          <w:rFonts w:hint="eastAsia"/>
          <w:sz w:val="24"/>
          <w:szCs w:val="24"/>
        </w:rPr>
        <w:t>第2</w:t>
      </w:r>
      <w:r>
        <w:rPr>
          <w:sz w:val="24"/>
          <w:szCs w:val="24"/>
        </w:rPr>
        <w:t xml:space="preserve">款，表层土含有丰富的有机质、矿物质和微量元素，适合植物和微生物的生长，有利于生态环境的恢复。对于场地内未受污染的净地表层土进行保护和回收利用是土壤资源保护、维持生物多样性的重要方法。 </w:t>
      </w:r>
    </w:p>
    <w:p>
      <w:pPr>
        <w:spacing w:line="360" w:lineRule="auto"/>
        <w:ind w:firstLine="480" w:firstLineChars="200"/>
        <w:jc w:val="left"/>
        <w:rPr>
          <w:rFonts w:hint="eastAsia"/>
          <w:sz w:val="24"/>
          <w:szCs w:val="24"/>
        </w:rPr>
      </w:pPr>
      <w:r>
        <w:rPr>
          <w:rFonts w:hint="eastAsia"/>
          <w:sz w:val="24"/>
          <w:szCs w:val="24"/>
        </w:rPr>
        <w:t>第3</w:t>
      </w:r>
      <w:r>
        <w:rPr>
          <w:sz w:val="24"/>
          <w:szCs w:val="24"/>
        </w:rPr>
        <w:t xml:space="preserve">款，基于场地资源与生态诊断的科学规划设计，在开发建设的同时采取符合场地实际的技术措施，并提供足够证据表明该技术措施可有效实现生态恢复或生态补偿，可参与评审。比如，在场地内规划设计多样化的生态体系，如湿地系统、乔灌草复合绿化体系、结合多层空间的立体绿化系统等，为本土动物提供生物通道和栖息场所。采用生态驳岸、生态浮岛等措施增加本地生物生存活动空间，充分利用水生动植物的水质自然净化功能保障水体水质。对于本条未列出的其他生态恢复或补偿措施，只要申请方能够提供足够相关证明文件即可认为满足得分要求。 </w:t>
      </w:r>
    </w:p>
    <w:p>
      <w:pPr>
        <w:spacing w:line="360" w:lineRule="auto"/>
        <w:ind w:firstLine="480" w:firstLineChars="200"/>
        <w:jc w:val="left"/>
        <w:rPr>
          <w:rFonts w:hint="eastAsia"/>
          <w:sz w:val="24"/>
          <w:szCs w:val="24"/>
        </w:rPr>
      </w:pPr>
      <w:r>
        <w:rPr>
          <w:sz w:val="24"/>
          <w:szCs w:val="24"/>
        </w:rPr>
        <w:t>本条的评价方法为：预评价查阅场地原地形图、相关设计文件（带地形的规划设计图、总平面图、竖向设计图、景观设计总平面图）；评价查阅相关竣工图、生态补偿方案（植被保护方案及记录、水面保留方案、表层土利用相关图纸或说明文件等）、施工记录、影像材料。</w:t>
      </w:r>
    </w:p>
    <w:p>
      <w:pPr>
        <w:spacing w:line="360" w:lineRule="auto"/>
        <w:jc w:val="left"/>
        <w:rPr>
          <w:sz w:val="24"/>
          <w:szCs w:val="24"/>
        </w:rPr>
      </w:pPr>
      <w:r>
        <w:rPr>
          <w:rFonts w:hint="eastAsia"/>
          <w:b/>
          <w:sz w:val="24"/>
          <w:szCs w:val="24"/>
        </w:rPr>
        <w:t xml:space="preserve">8.2.2  </w:t>
      </w:r>
      <w:r>
        <w:rPr>
          <w:rFonts w:hint="eastAsia"/>
          <w:sz w:val="24"/>
          <w:szCs w:val="24"/>
        </w:rPr>
        <w:t>本条适用于各类民用建筑的预评价、评价。</w:t>
      </w:r>
    </w:p>
    <w:p>
      <w:pPr>
        <w:spacing w:line="360" w:lineRule="auto"/>
        <w:ind w:firstLine="480" w:firstLineChars="200"/>
        <w:jc w:val="left"/>
        <w:rPr>
          <w:sz w:val="24"/>
          <w:szCs w:val="24"/>
        </w:rPr>
      </w:pPr>
      <w:r>
        <w:rPr>
          <w:sz w:val="24"/>
          <w:szCs w:val="24"/>
        </w:rPr>
        <w:t>本条在本标准 201</w:t>
      </w:r>
      <w:r>
        <w:rPr>
          <w:rFonts w:hint="eastAsia"/>
          <w:sz w:val="24"/>
          <w:szCs w:val="24"/>
        </w:rPr>
        <w:t>6</w:t>
      </w:r>
      <w:r>
        <w:rPr>
          <w:sz w:val="24"/>
          <w:szCs w:val="24"/>
        </w:rPr>
        <w:t xml:space="preserve">年版第 4.2. 14 条基础上发展而来。年径流总量控制率定义为：通过自然和人工强化的入渗、滞蓄、调蓄和收集回用，场地内累计一年得到控制的雨水量占全年总降雨量的比例。 </w:t>
      </w:r>
    </w:p>
    <w:p>
      <w:pPr>
        <w:spacing w:line="360" w:lineRule="auto"/>
        <w:ind w:firstLine="480" w:firstLineChars="200"/>
        <w:jc w:val="left"/>
        <w:rPr>
          <w:sz w:val="24"/>
          <w:szCs w:val="24"/>
        </w:rPr>
      </w:pPr>
      <w:r>
        <w:rPr>
          <w:sz w:val="24"/>
          <w:szCs w:val="24"/>
        </w:rPr>
        <w:t xml:space="preserve">外排总量控制包括径流减排、污染控制、雨水调节和收集回用等，应依据场地的实际情况，通过合理的技术经济比较，来确定最优方案。 </w:t>
      </w:r>
    </w:p>
    <w:p>
      <w:pPr>
        <w:spacing w:line="360" w:lineRule="auto"/>
        <w:ind w:firstLine="480" w:firstLineChars="200"/>
        <w:jc w:val="left"/>
        <w:rPr>
          <w:sz w:val="24"/>
          <w:szCs w:val="24"/>
        </w:rPr>
      </w:pPr>
      <w:r>
        <w:rPr>
          <w:sz w:val="24"/>
          <w:szCs w:val="24"/>
        </w:rPr>
        <w:t xml:space="preserve">从区域角度看，雨水的过量收集会导致原有水体的萎缩或影响水系统的良性循环。要使硬化地面恢复到自然地貌的环境水平，最佳的雨水控制量应以雨水排放量接近自然地貌为标准，因此从经济性和维持区域性水环境的良性循环角度出发，径流的控制率也不宜过大而应有合适的最（除非具体项目有特殊的防洪排滂设计要求）。出于维持场地生态、基流的需要，年径流总扯控制率不宜超过 85% </w:t>
      </w:r>
      <w:r>
        <w:rPr>
          <w:rFonts w:hint="eastAsia"/>
          <w:sz w:val="24"/>
          <w:szCs w:val="24"/>
        </w:rPr>
        <w:t>。</w:t>
      </w:r>
    </w:p>
    <w:p>
      <w:pPr>
        <w:spacing w:line="360" w:lineRule="auto"/>
        <w:ind w:firstLine="480" w:firstLineChars="200"/>
        <w:jc w:val="left"/>
        <w:rPr>
          <w:rFonts w:hint="eastAsia"/>
          <w:sz w:val="24"/>
          <w:szCs w:val="24"/>
        </w:rPr>
      </w:pPr>
      <w:r>
        <w:rPr>
          <w:sz w:val="24"/>
          <w:szCs w:val="24"/>
        </w:rPr>
        <w:t>年径流总最控制率为 55%</w:t>
      </w:r>
      <w:r>
        <w:rPr>
          <w:rFonts w:hint="eastAsia"/>
          <w:sz w:val="24"/>
          <w:szCs w:val="24"/>
        </w:rPr>
        <w:t>、</w:t>
      </w:r>
      <w:r>
        <w:rPr>
          <w:sz w:val="24"/>
          <w:szCs w:val="24"/>
        </w:rPr>
        <w:t xml:space="preserve"> 70% </w:t>
      </w:r>
      <w:r>
        <w:rPr>
          <w:rFonts w:hint="eastAsia"/>
          <w:sz w:val="24"/>
          <w:szCs w:val="24"/>
        </w:rPr>
        <w:t>或</w:t>
      </w:r>
      <w:r>
        <w:rPr>
          <w:sz w:val="24"/>
          <w:szCs w:val="24"/>
        </w:rPr>
        <w:t>85% 时对应的降雨量（日值）为设计控制雨量，参见表 。设计控制雨量的确定要通过统计学方法获得。统计年限不同时，不同控制率下对应的设计雨量会有差异。</w:t>
      </w:r>
      <w:r>
        <w:rPr>
          <w:rFonts w:hint="eastAsia"/>
          <w:sz w:val="24"/>
          <w:szCs w:val="24"/>
        </w:rPr>
        <w:t>根据广西本地气候实际情况，考虑气候变化的趋势和周期性，推荐采用最近XX年的统计数据，特殊情况除外。</w:t>
      </w:r>
    </w:p>
    <w:p>
      <w:pPr>
        <w:spacing w:line="360" w:lineRule="auto"/>
        <w:jc w:val="center"/>
        <w:rPr>
          <w:rFonts w:eastAsia="黑体"/>
          <w:sz w:val="22"/>
        </w:rPr>
      </w:pPr>
      <w:r>
        <w:rPr>
          <w:rFonts w:hint="eastAsia" w:eastAsia="黑体"/>
          <w:sz w:val="22"/>
        </w:rPr>
        <w:t>表4 年径流总量控制率对应的设计控制雨量</w:t>
      </w:r>
    </w:p>
    <w:tbl>
      <w:tblPr>
        <w:tblStyle w:val="11"/>
        <w:tblW w:w="86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1"/>
        <w:gridCol w:w="1772"/>
        <w:gridCol w:w="1800"/>
        <w:gridCol w:w="1939"/>
        <w:gridCol w:w="18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1211" w:type="dxa"/>
            <w:vMerge w:val="restart"/>
            <w:noWrap/>
            <w:vAlign w:val="center"/>
          </w:tcPr>
          <w:p>
            <w:pPr>
              <w:spacing w:line="360" w:lineRule="auto"/>
              <w:rPr>
                <w:sz w:val="24"/>
                <w:szCs w:val="24"/>
              </w:rPr>
            </w:pPr>
            <w:r>
              <w:rPr>
                <w:rFonts w:hint="eastAsia"/>
                <w:sz w:val="24"/>
                <w:szCs w:val="24"/>
              </w:rPr>
              <w:t>城市</w:t>
            </w:r>
          </w:p>
        </w:tc>
        <w:tc>
          <w:tcPr>
            <w:tcW w:w="1772" w:type="dxa"/>
            <w:vMerge w:val="restart"/>
            <w:noWrap/>
            <w:vAlign w:val="center"/>
          </w:tcPr>
          <w:p>
            <w:pPr>
              <w:spacing w:line="360" w:lineRule="auto"/>
              <w:rPr>
                <w:sz w:val="24"/>
                <w:szCs w:val="24"/>
              </w:rPr>
            </w:pPr>
            <w:r>
              <w:rPr>
                <w:rFonts w:hint="eastAsia"/>
                <w:sz w:val="24"/>
                <w:szCs w:val="24"/>
              </w:rPr>
              <w:t>年均降雨量(mm)</w:t>
            </w:r>
          </w:p>
        </w:tc>
        <w:tc>
          <w:tcPr>
            <w:tcW w:w="5621" w:type="dxa"/>
            <w:gridSpan w:val="3"/>
            <w:noWrap/>
            <w:vAlign w:val="center"/>
          </w:tcPr>
          <w:p>
            <w:pPr>
              <w:spacing w:line="360" w:lineRule="auto"/>
              <w:rPr>
                <w:sz w:val="24"/>
                <w:szCs w:val="24"/>
              </w:rPr>
            </w:pPr>
            <w:r>
              <w:rPr>
                <w:rFonts w:hint="eastAsia"/>
                <w:sz w:val="24"/>
                <w:szCs w:val="24"/>
              </w:rPr>
              <w:t>年径流总量控制率对应的设计控制雨量（mm）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1211" w:type="dxa"/>
            <w:vMerge w:val="continue"/>
            <w:noWrap/>
            <w:vAlign w:val="center"/>
          </w:tcPr>
          <w:p>
            <w:pPr>
              <w:spacing w:line="360" w:lineRule="auto"/>
              <w:rPr>
                <w:sz w:val="24"/>
                <w:szCs w:val="24"/>
              </w:rPr>
            </w:pPr>
          </w:p>
        </w:tc>
        <w:tc>
          <w:tcPr>
            <w:tcW w:w="1772" w:type="dxa"/>
            <w:vMerge w:val="continue"/>
            <w:noWrap/>
            <w:vAlign w:val="center"/>
          </w:tcPr>
          <w:p>
            <w:pPr>
              <w:spacing w:line="360" w:lineRule="auto"/>
              <w:rPr>
                <w:sz w:val="24"/>
                <w:szCs w:val="24"/>
              </w:rPr>
            </w:pPr>
          </w:p>
        </w:tc>
        <w:tc>
          <w:tcPr>
            <w:tcW w:w="1800" w:type="dxa"/>
            <w:noWrap/>
            <w:vAlign w:val="center"/>
          </w:tcPr>
          <w:p>
            <w:pPr>
              <w:spacing w:line="360" w:lineRule="auto"/>
              <w:rPr>
                <w:sz w:val="24"/>
                <w:szCs w:val="24"/>
              </w:rPr>
            </w:pPr>
            <w:r>
              <w:rPr>
                <w:rFonts w:hint="eastAsia"/>
                <w:sz w:val="24"/>
                <w:szCs w:val="24"/>
              </w:rPr>
              <w:t>55%</w:t>
            </w:r>
          </w:p>
        </w:tc>
        <w:tc>
          <w:tcPr>
            <w:tcW w:w="1939" w:type="dxa"/>
            <w:noWrap/>
            <w:vAlign w:val="center"/>
          </w:tcPr>
          <w:p>
            <w:pPr>
              <w:spacing w:line="360" w:lineRule="auto"/>
              <w:rPr>
                <w:sz w:val="24"/>
                <w:szCs w:val="24"/>
              </w:rPr>
            </w:pPr>
            <w:r>
              <w:rPr>
                <w:rFonts w:hint="eastAsia"/>
                <w:sz w:val="24"/>
                <w:szCs w:val="24"/>
              </w:rPr>
              <w:t>70%</w:t>
            </w:r>
          </w:p>
        </w:tc>
        <w:tc>
          <w:tcPr>
            <w:tcW w:w="1882" w:type="dxa"/>
            <w:noWrap/>
            <w:vAlign w:val="center"/>
          </w:tcPr>
          <w:p>
            <w:pPr>
              <w:spacing w:line="360" w:lineRule="auto"/>
              <w:rPr>
                <w:sz w:val="24"/>
                <w:szCs w:val="24"/>
              </w:rPr>
            </w:pPr>
            <w:r>
              <w:rPr>
                <w:rFonts w:hint="eastAsia"/>
                <w:sz w:val="24"/>
                <w:szCs w:val="24"/>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1" w:type="dxa"/>
            <w:noWrap/>
            <w:vAlign w:val="center"/>
          </w:tcPr>
          <w:p>
            <w:pPr>
              <w:spacing w:line="360" w:lineRule="auto"/>
              <w:rPr>
                <w:rFonts w:hint="eastAsia"/>
                <w:sz w:val="24"/>
                <w:szCs w:val="24"/>
              </w:rPr>
            </w:pPr>
            <w:r>
              <w:rPr>
                <w:rFonts w:hint="eastAsia"/>
                <w:sz w:val="24"/>
                <w:szCs w:val="24"/>
              </w:rPr>
              <w:t>南宁</w:t>
            </w:r>
          </w:p>
        </w:tc>
        <w:tc>
          <w:tcPr>
            <w:tcW w:w="1772" w:type="dxa"/>
            <w:noWrap/>
            <w:vAlign w:val="center"/>
          </w:tcPr>
          <w:p>
            <w:pPr>
              <w:spacing w:line="360" w:lineRule="auto"/>
              <w:rPr>
                <w:sz w:val="24"/>
                <w:szCs w:val="24"/>
              </w:rPr>
            </w:pPr>
            <w:r>
              <w:rPr>
                <w:rFonts w:hint="eastAsia"/>
                <w:sz w:val="24"/>
                <w:szCs w:val="24"/>
              </w:rPr>
              <w:t>1300.0</w:t>
            </w:r>
          </w:p>
        </w:tc>
        <w:tc>
          <w:tcPr>
            <w:tcW w:w="1800" w:type="dxa"/>
            <w:noWrap/>
            <w:vAlign w:val="center"/>
          </w:tcPr>
          <w:p>
            <w:pPr>
              <w:spacing w:line="360" w:lineRule="auto"/>
              <w:rPr>
                <w:sz w:val="24"/>
                <w:szCs w:val="24"/>
              </w:rPr>
            </w:pPr>
            <w:r>
              <w:rPr>
                <w:rFonts w:hint="eastAsia"/>
                <w:sz w:val="24"/>
                <w:szCs w:val="24"/>
              </w:rPr>
              <w:t>13.8</w:t>
            </w:r>
          </w:p>
        </w:tc>
        <w:tc>
          <w:tcPr>
            <w:tcW w:w="1939" w:type="dxa"/>
            <w:noWrap/>
            <w:vAlign w:val="center"/>
          </w:tcPr>
          <w:p>
            <w:pPr>
              <w:spacing w:line="360" w:lineRule="auto"/>
              <w:rPr>
                <w:sz w:val="24"/>
                <w:szCs w:val="24"/>
              </w:rPr>
            </w:pPr>
            <w:r>
              <w:rPr>
                <w:rFonts w:hint="eastAsia"/>
                <w:sz w:val="24"/>
                <w:szCs w:val="24"/>
              </w:rPr>
              <w:t>19.0</w:t>
            </w:r>
          </w:p>
        </w:tc>
        <w:tc>
          <w:tcPr>
            <w:tcW w:w="1882" w:type="dxa"/>
            <w:noWrap/>
            <w:vAlign w:val="center"/>
          </w:tcPr>
          <w:p>
            <w:pPr>
              <w:spacing w:line="360" w:lineRule="auto"/>
              <w:rPr>
                <w:sz w:val="24"/>
                <w:szCs w:val="24"/>
              </w:rPr>
            </w:pPr>
            <w:r>
              <w:rPr>
                <w:rFonts w:hint="eastAsia"/>
                <w:sz w:val="24"/>
                <w:szCs w:val="24"/>
              </w:rPr>
              <w:t>33.4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1" w:type="dxa"/>
            <w:noWrap/>
            <w:vAlign w:val="center"/>
          </w:tcPr>
          <w:p>
            <w:pPr>
              <w:spacing w:line="360" w:lineRule="auto"/>
              <w:rPr>
                <w:rFonts w:hint="eastAsia"/>
                <w:sz w:val="24"/>
                <w:szCs w:val="24"/>
              </w:rPr>
            </w:pPr>
            <w:r>
              <w:rPr>
                <w:rFonts w:hint="eastAsia"/>
                <w:sz w:val="24"/>
                <w:szCs w:val="24"/>
              </w:rPr>
              <w:t>柳州</w:t>
            </w:r>
          </w:p>
        </w:tc>
        <w:tc>
          <w:tcPr>
            <w:tcW w:w="1772" w:type="dxa"/>
            <w:noWrap/>
            <w:vAlign w:val="center"/>
          </w:tcPr>
          <w:p>
            <w:pPr>
              <w:spacing w:line="360" w:lineRule="auto"/>
              <w:rPr>
                <w:sz w:val="24"/>
                <w:szCs w:val="24"/>
              </w:rPr>
            </w:pPr>
            <w:r>
              <w:rPr>
                <w:rFonts w:hint="eastAsia"/>
                <w:sz w:val="24"/>
                <w:szCs w:val="24"/>
              </w:rPr>
              <w:t>1474.0</w:t>
            </w:r>
          </w:p>
        </w:tc>
        <w:tc>
          <w:tcPr>
            <w:tcW w:w="1800" w:type="dxa"/>
            <w:noWrap/>
            <w:vAlign w:val="center"/>
          </w:tcPr>
          <w:p>
            <w:pPr>
              <w:spacing w:line="360" w:lineRule="auto"/>
              <w:rPr>
                <w:sz w:val="24"/>
                <w:szCs w:val="24"/>
              </w:rPr>
            </w:pPr>
            <w:r>
              <w:rPr>
                <w:rFonts w:hint="eastAsia"/>
                <w:sz w:val="24"/>
                <w:szCs w:val="24"/>
              </w:rPr>
              <w:t>13.8</w:t>
            </w:r>
          </w:p>
        </w:tc>
        <w:tc>
          <w:tcPr>
            <w:tcW w:w="1939" w:type="dxa"/>
            <w:noWrap/>
            <w:vAlign w:val="center"/>
          </w:tcPr>
          <w:p>
            <w:pPr>
              <w:spacing w:line="360" w:lineRule="auto"/>
              <w:rPr>
                <w:sz w:val="24"/>
                <w:szCs w:val="24"/>
              </w:rPr>
            </w:pPr>
            <w:r>
              <w:rPr>
                <w:rFonts w:hint="eastAsia"/>
                <w:sz w:val="24"/>
                <w:szCs w:val="24"/>
              </w:rPr>
              <w:t>19.0</w:t>
            </w:r>
          </w:p>
        </w:tc>
        <w:tc>
          <w:tcPr>
            <w:tcW w:w="1882" w:type="dxa"/>
            <w:noWrap/>
            <w:vAlign w:val="center"/>
          </w:tcPr>
          <w:p>
            <w:pPr>
              <w:spacing w:line="360" w:lineRule="auto"/>
              <w:rPr>
                <w:sz w:val="24"/>
                <w:szCs w:val="24"/>
              </w:rPr>
            </w:pPr>
            <w:r>
              <w:rPr>
                <w:rFonts w:hint="eastAsia"/>
                <w:sz w:val="24"/>
                <w:szCs w:val="24"/>
              </w:rPr>
              <w:t>33.4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jc w:val="center"/>
        </w:trPr>
        <w:tc>
          <w:tcPr>
            <w:tcW w:w="1211" w:type="dxa"/>
            <w:noWrap/>
            <w:vAlign w:val="center"/>
          </w:tcPr>
          <w:p>
            <w:pPr>
              <w:spacing w:line="360" w:lineRule="auto"/>
              <w:rPr>
                <w:sz w:val="24"/>
                <w:szCs w:val="24"/>
              </w:rPr>
            </w:pPr>
            <w:r>
              <w:rPr>
                <w:rFonts w:hint="eastAsia"/>
                <w:sz w:val="24"/>
                <w:szCs w:val="24"/>
              </w:rPr>
              <w:t>桂林</w:t>
            </w:r>
          </w:p>
        </w:tc>
        <w:tc>
          <w:tcPr>
            <w:tcW w:w="1772" w:type="dxa"/>
            <w:noWrap/>
            <w:vAlign w:val="center"/>
          </w:tcPr>
          <w:p>
            <w:pPr>
              <w:spacing w:line="360" w:lineRule="auto"/>
              <w:rPr>
                <w:sz w:val="24"/>
                <w:szCs w:val="24"/>
              </w:rPr>
            </w:pPr>
            <w:r>
              <w:rPr>
                <w:rFonts w:hint="eastAsia"/>
                <w:sz w:val="24"/>
                <w:szCs w:val="24"/>
              </w:rPr>
              <w:t>1887.6</w:t>
            </w:r>
          </w:p>
        </w:tc>
        <w:tc>
          <w:tcPr>
            <w:tcW w:w="1800" w:type="dxa"/>
            <w:noWrap/>
            <w:vAlign w:val="center"/>
          </w:tcPr>
          <w:p>
            <w:pPr>
              <w:spacing w:line="360" w:lineRule="auto"/>
              <w:rPr>
                <w:sz w:val="24"/>
                <w:szCs w:val="24"/>
              </w:rPr>
            </w:pPr>
          </w:p>
        </w:tc>
        <w:tc>
          <w:tcPr>
            <w:tcW w:w="1939" w:type="dxa"/>
            <w:noWrap/>
            <w:vAlign w:val="center"/>
          </w:tcPr>
          <w:p>
            <w:pPr>
              <w:spacing w:line="360" w:lineRule="auto"/>
              <w:rPr>
                <w:sz w:val="24"/>
                <w:szCs w:val="24"/>
              </w:rPr>
            </w:pPr>
          </w:p>
        </w:tc>
        <w:tc>
          <w:tcPr>
            <w:tcW w:w="1882" w:type="dxa"/>
            <w:noWrap/>
            <w:vAlign w:val="center"/>
          </w:tcPr>
          <w:p>
            <w:pPr>
              <w:spacing w:line="360" w:lineRule="auto"/>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1" w:type="dxa"/>
            <w:noWrap/>
            <w:vAlign w:val="center"/>
          </w:tcPr>
          <w:p>
            <w:pPr>
              <w:spacing w:line="360" w:lineRule="auto"/>
              <w:rPr>
                <w:rFonts w:hint="eastAsia"/>
                <w:sz w:val="24"/>
                <w:szCs w:val="24"/>
              </w:rPr>
            </w:pPr>
            <w:r>
              <w:rPr>
                <w:rFonts w:hint="eastAsia"/>
                <w:sz w:val="24"/>
                <w:szCs w:val="24"/>
              </w:rPr>
              <w:t>梧州</w:t>
            </w:r>
          </w:p>
        </w:tc>
        <w:tc>
          <w:tcPr>
            <w:tcW w:w="1772" w:type="dxa"/>
            <w:noWrap/>
            <w:vAlign w:val="center"/>
          </w:tcPr>
          <w:p>
            <w:pPr>
              <w:spacing w:line="360" w:lineRule="auto"/>
              <w:rPr>
                <w:sz w:val="24"/>
                <w:szCs w:val="24"/>
              </w:rPr>
            </w:pPr>
            <w:r>
              <w:rPr>
                <w:rFonts w:hint="eastAsia"/>
                <w:sz w:val="24"/>
                <w:szCs w:val="24"/>
              </w:rPr>
              <w:t>1453.0</w:t>
            </w:r>
          </w:p>
        </w:tc>
        <w:tc>
          <w:tcPr>
            <w:tcW w:w="1800" w:type="dxa"/>
            <w:noWrap/>
            <w:vAlign w:val="center"/>
          </w:tcPr>
          <w:p>
            <w:pPr>
              <w:spacing w:line="360" w:lineRule="auto"/>
              <w:rPr>
                <w:sz w:val="24"/>
                <w:szCs w:val="24"/>
              </w:rPr>
            </w:pPr>
            <w:r>
              <w:rPr>
                <w:rFonts w:hint="eastAsia"/>
                <w:sz w:val="24"/>
                <w:szCs w:val="24"/>
              </w:rPr>
              <w:t>13.2</w:t>
            </w:r>
          </w:p>
        </w:tc>
        <w:tc>
          <w:tcPr>
            <w:tcW w:w="1939" w:type="dxa"/>
            <w:noWrap/>
            <w:vAlign w:val="center"/>
          </w:tcPr>
          <w:p>
            <w:pPr>
              <w:spacing w:line="360" w:lineRule="auto"/>
              <w:rPr>
                <w:sz w:val="24"/>
                <w:szCs w:val="24"/>
              </w:rPr>
            </w:pPr>
            <w:r>
              <w:rPr>
                <w:rFonts w:hint="eastAsia"/>
                <w:sz w:val="24"/>
                <w:szCs w:val="24"/>
              </w:rPr>
              <w:t>20.9</w:t>
            </w:r>
          </w:p>
        </w:tc>
        <w:tc>
          <w:tcPr>
            <w:tcW w:w="1882" w:type="dxa"/>
            <w:noWrap/>
            <w:vAlign w:val="center"/>
          </w:tcPr>
          <w:p>
            <w:pPr>
              <w:spacing w:line="360" w:lineRule="auto"/>
              <w:rPr>
                <w:sz w:val="24"/>
                <w:szCs w:val="24"/>
              </w:rPr>
            </w:pPr>
            <w:r>
              <w:rPr>
                <w:rFonts w:hint="eastAsia"/>
                <w:sz w:val="24"/>
                <w:szCs w:val="24"/>
              </w:rPr>
              <w:t>29.4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1" w:type="dxa"/>
            <w:noWrap/>
            <w:vAlign w:val="center"/>
          </w:tcPr>
          <w:p>
            <w:pPr>
              <w:spacing w:line="360" w:lineRule="auto"/>
              <w:rPr>
                <w:rFonts w:hint="eastAsia"/>
                <w:sz w:val="24"/>
                <w:szCs w:val="24"/>
              </w:rPr>
            </w:pPr>
            <w:r>
              <w:rPr>
                <w:rFonts w:hint="eastAsia"/>
                <w:sz w:val="24"/>
                <w:szCs w:val="24"/>
              </w:rPr>
              <w:t>北海</w:t>
            </w:r>
          </w:p>
        </w:tc>
        <w:tc>
          <w:tcPr>
            <w:tcW w:w="1772" w:type="dxa"/>
            <w:noWrap/>
            <w:vAlign w:val="center"/>
          </w:tcPr>
          <w:p>
            <w:pPr>
              <w:spacing w:line="360" w:lineRule="auto"/>
              <w:rPr>
                <w:sz w:val="24"/>
                <w:szCs w:val="24"/>
              </w:rPr>
            </w:pPr>
            <w:r>
              <w:rPr>
                <w:rFonts w:hint="eastAsia"/>
                <w:sz w:val="24"/>
                <w:szCs w:val="24"/>
              </w:rPr>
              <w:t>1664.0</w:t>
            </w:r>
          </w:p>
        </w:tc>
        <w:tc>
          <w:tcPr>
            <w:tcW w:w="1800" w:type="dxa"/>
            <w:noWrap/>
            <w:vAlign w:val="center"/>
          </w:tcPr>
          <w:p>
            <w:pPr>
              <w:spacing w:line="360" w:lineRule="auto"/>
              <w:rPr>
                <w:sz w:val="24"/>
                <w:szCs w:val="24"/>
              </w:rPr>
            </w:pPr>
          </w:p>
        </w:tc>
        <w:tc>
          <w:tcPr>
            <w:tcW w:w="1939" w:type="dxa"/>
            <w:noWrap/>
            <w:vAlign w:val="center"/>
          </w:tcPr>
          <w:p>
            <w:pPr>
              <w:spacing w:line="360" w:lineRule="auto"/>
              <w:rPr>
                <w:sz w:val="24"/>
                <w:szCs w:val="24"/>
              </w:rPr>
            </w:pPr>
          </w:p>
        </w:tc>
        <w:tc>
          <w:tcPr>
            <w:tcW w:w="1882" w:type="dxa"/>
            <w:noWrap/>
            <w:vAlign w:val="center"/>
          </w:tcPr>
          <w:p>
            <w:pPr>
              <w:spacing w:line="360" w:lineRule="auto"/>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1" w:type="dxa"/>
            <w:noWrap/>
            <w:vAlign w:val="center"/>
          </w:tcPr>
          <w:p>
            <w:pPr>
              <w:spacing w:line="360" w:lineRule="auto"/>
              <w:rPr>
                <w:rFonts w:hint="eastAsia"/>
                <w:sz w:val="24"/>
                <w:szCs w:val="24"/>
              </w:rPr>
            </w:pPr>
            <w:r>
              <w:rPr>
                <w:rFonts w:hint="eastAsia"/>
                <w:sz w:val="24"/>
                <w:szCs w:val="24"/>
              </w:rPr>
              <w:t>防城港</w:t>
            </w:r>
          </w:p>
        </w:tc>
        <w:tc>
          <w:tcPr>
            <w:tcW w:w="1772" w:type="dxa"/>
            <w:noWrap/>
            <w:vAlign w:val="center"/>
          </w:tcPr>
          <w:p>
            <w:pPr>
              <w:spacing w:line="360" w:lineRule="auto"/>
              <w:rPr>
                <w:sz w:val="24"/>
                <w:szCs w:val="24"/>
              </w:rPr>
            </w:pPr>
            <w:r>
              <w:rPr>
                <w:rFonts w:hint="eastAsia"/>
                <w:sz w:val="24"/>
                <w:szCs w:val="24"/>
              </w:rPr>
              <w:t>2362.6</w:t>
            </w:r>
          </w:p>
        </w:tc>
        <w:tc>
          <w:tcPr>
            <w:tcW w:w="1800" w:type="dxa"/>
            <w:noWrap/>
            <w:vAlign w:val="center"/>
          </w:tcPr>
          <w:p>
            <w:pPr>
              <w:spacing w:line="360" w:lineRule="auto"/>
              <w:rPr>
                <w:sz w:val="24"/>
                <w:szCs w:val="24"/>
              </w:rPr>
            </w:pPr>
          </w:p>
        </w:tc>
        <w:tc>
          <w:tcPr>
            <w:tcW w:w="1939" w:type="dxa"/>
            <w:noWrap/>
            <w:vAlign w:val="center"/>
          </w:tcPr>
          <w:p>
            <w:pPr>
              <w:spacing w:line="360" w:lineRule="auto"/>
              <w:rPr>
                <w:sz w:val="24"/>
                <w:szCs w:val="24"/>
              </w:rPr>
            </w:pPr>
          </w:p>
        </w:tc>
        <w:tc>
          <w:tcPr>
            <w:tcW w:w="1882" w:type="dxa"/>
            <w:noWrap/>
            <w:vAlign w:val="center"/>
          </w:tcPr>
          <w:p>
            <w:pPr>
              <w:spacing w:line="360" w:lineRule="auto"/>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1" w:type="dxa"/>
            <w:noWrap/>
            <w:vAlign w:val="center"/>
          </w:tcPr>
          <w:p>
            <w:pPr>
              <w:spacing w:line="360" w:lineRule="auto"/>
              <w:rPr>
                <w:rFonts w:hint="eastAsia"/>
                <w:sz w:val="24"/>
                <w:szCs w:val="24"/>
              </w:rPr>
            </w:pPr>
            <w:r>
              <w:rPr>
                <w:rFonts w:hint="eastAsia"/>
                <w:sz w:val="24"/>
                <w:szCs w:val="24"/>
              </w:rPr>
              <w:t>钦州</w:t>
            </w:r>
          </w:p>
        </w:tc>
        <w:tc>
          <w:tcPr>
            <w:tcW w:w="1772" w:type="dxa"/>
            <w:noWrap/>
            <w:vAlign w:val="center"/>
          </w:tcPr>
          <w:p>
            <w:pPr>
              <w:spacing w:line="360" w:lineRule="auto"/>
              <w:rPr>
                <w:sz w:val="24"/>
                <w:szCs w:val="24"/>
              </w:rPr>
            </w:pPr>
            <w:r>
              <w:rPr>
                <w:rFonts w:hint="eastAsia"/>
                <w:sz w:val="24"/>
                <w:szCs w:val="24"/>
              </w:rPr>
              <w:t>2150.0</w:t>
            </w:r>
          </w:p>
        </w:tc>
        <w:tc>
          <w:tcPr>
            <w:tcW w:w="1800" w:type="dxa"/>
            <w:noWrap/>
            <w:vAlign w:val="center"/>
          </w:tcPr>
          <w:p>
            <w:pPr>
              <w:spacing w:line="360" w:lineRule="auto"/>
              <w:rPr>
                <w:sz w:val="24"/>
                <w:szCs w:val="24"/>
              </w:rPr>
            </w:pPr>
            <w:r>
              <w:rPr>
                <w:rFonts w:hint="eastAsia"/>
                <w:sz w:val="24"/>
                <w:szCs w:val="24"/>
              </w:rPr>
              <w:t>18.6（50%）</w:t>
            </w:r>
          </w:p>
        </w:tc>
        <w:tc>
          <w:tcPr>
            <w:tcW w:w="1939" w:type="dxa"/>
            <w:noWrap/>
            <w:vAlign w:val="center"/>
          </w:tcPr>
          <w:p>
            <w:pPr>
              <w:spacing w:line="360" w:lineRule="auto"/>
              <w:rPr>
                <w:sz w:val="24"/>
                <w:szCs w:val="24"/>
              </w:rPr>
            </w:pPr>
            <w:r>
              <w:rPr>
                <w:rFonts w:hint="eastAsia"/>
                <w:sz w:val="24"/>
                <w:szCs w:val="24"/>
              </w:rPr>
              <w:t>37.0</w:t>
            </w:r>
          </w:p>
        </w:tc>
        <w:tc>
          <w:tcPr>
            <w:tcW w:w="1882" w:type="dxa"/>
            <w:noWrap/>
            <w:vAlign w:val="center"/>
          </w:tcPr>
          <w:p>
            <w:pPr>
              <w:spacing w:line="360" w:lineRule="auto"/>
              <w:rPr>
                <w:sz w:val="24"/>
                <w:szCs w:val="24"/>
              </w:rPr>
            </w:pPr>
            <w:r>
              <w:rPr>
                <w:rFonts w:hint="eastAsia"/>
                <w:sz w:val="24"/>
                <w:szCs w:val="24"/>
              </w:rPr>
              <w:t>53.9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1" w:type="dxa"/>
            <w:noWrap/>
            <w:vAlign w:val="center"/>
          </w:tcPr>
          <w:p>
            <w:pPr>
              <w:spacing w:line="360" w:lineRule="auto"/>
              <w:rPr>
                <w:rFonts w:hint="eastAsia"/>
                <w:sz w:val="24"/>
                <w:szCs w:val="24"/>
              </w:rPr>
            </w:pPr>
            <w:r>
              <w:rPr>
                <w:rFonts w:hint="eastAsia"/>
                <w:sz w:val="24"/>
                <w:szCs w:val="24"/>
              </w:rPr>
              <w:t>贵港</w:t>
            </w:r>
          </w:p>
        </w:tc>
        <w:tc>
          <w:tcPr>
            <w:tcW w:w="1772" w:type="dxa"/>
            <w:noWrap/>
            <w:vAlign w:val="center"/>
          </w:tcPr>
          <w:p>
            <w:pPr>
              <w:spacing w:line="360" w:lineRule="auto"/>
              <w:rPr>
                <w:sz w:val="24"/>
                <w:szCs w:val="24"/>
              </w:rPr>
            </w:pPr>
            <w:r>
              <w:rPr>
                <w:rFonts w:hint="eastAsia"/>
                <w:sz w:val="24"/>
                <w:szCs w:val="24"/>
              </w:rPr>
              <w:t>1461.6</w:t>
            </w:r>
          </w:p>
        </w:tc>
        <w:tc>
          <w:tcPr>
            <w:tcW w:w="1800" w:type="dxa"/>
            <w:noWrap/>
            <w:vAlign w:val="center"/>
          </w:tcPr>
          <w:p>
            <w:pPr>
              <w:spacing w:line="360" w:lineRule="auto"/>
              <w:rPr>
                <w:sz w:val="24"/>
                <w:szCs w:val="24"/>
              </w:rPr>
            </w:pPr>
            <w:r>
              <w:rPr>
                <w:rFonts w:hint="eastAsia"/>
                <w:sz w:val="24"/>
                <w:szCs w:val="24"/>
              </w:rPr>
              <w:t>13.83</w:t>
            </w:r>
          </w:p>
        </w:tc>
        <w:tc>
          <w:tcPr>
            <w:tcW w:w="1939" w:type="dxa"/>
            <w:noWrap/>
            <w:vAlign w:val="center"/>
          </w:tcPr>
          <w:p>
            <w:pPr>
              <w:spacing w:line="360" w:lineRule="auto"/>
              <w:rPr>
                <w:sz w:val="24"/>
                <w:szCs w:val="24"/>
              </w:rPr>
            </w:pPr>
            <w:r>
              <w:rPr>
                <w:rFonts w:hint="eastAsia"/>
                <w:sz w:val="24"/>
                <w:szCs w:val="24"/>
              </w:rPr>
              <w:t>24.64</w:t>
            </w:r>
          </w:p>
        </w:tc>
        <w:tc>
          <w:tcPr>
            <w:tcW w:w="1882" w:type="dxa"/>
            <w:noWrap/>
            <w:vAlign w:val="center"/>
          </w:tcPr>
          <w:p>
            <w:pPr>
              <w:spacing w:line="360" w:lineRule="auto"/>
              <w:rPr>
                <w:sz w:val="24"/>
                <w:szCs w:val="24"/>
              </w:rPr>
            </w:pPr>
            <w:r>
              <w:rPr>
                <w:rFonts w:hint="eastAsia"/>
                <w:sz w:val="24"/>
                <w:szCs w:val="24"/>
              </w:rPr>
              <w:t>36.20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1" w:type="dxa"/>
            <w:noWrap/>
            <w:vAlign w:val="center"/>
          </w:tcPr>
          <w:p>
            <w:pPr>
              <w:spacing w:line="360" w:lineRule="auto"/>
              <w:rPr>
                <w:rFonts w:hint="eastAsia"/>
                <w:sz w:val="24"/>
                <w:szCs w:val="24"/>
              </w:rPr>
            </w:pPr>
            <w:r>
              <w:rPr>
                <w:rFonts w:hint="eastAsia"/>
                <w:sz w:val="24"/>
                <w:szCs w:val="24"/>
              </w:rPr>
              <w:t>玉林</w:t>
            </w:r>
          </w:p>
        </w:tc>
        <w:tc>
          <w:tcPr>
            <w:tcW w:w="1772" w:type="dxa"/>
            <w:noWrap/>
            <w:vAlign w:val="center"/>
          </w:tcPr>
          <w:p>
            <w:pPr>
              <w:spacing w:line="360" w:lineRule="auto"/>
              <w:rPr>
                <w:sz w:val="24"/>
                <w:szCs w:val="24"/>
              </w:rPr>
            </w:pPr>
            <w:r>
              <w:rPr>
                <w:rFonts w:hint="eastAsia"/>
                <w:sz w:val="24"/>
                <w:szCs w:val="24"/>
              </w:rPr>
              <w:t>1650.0</w:t>
            </w:r>
          </w:p>
        </w:tc>
        <w:tc>
          <w:tcPr>
            <w:tcW w:w="1800" w:type="dxa"/>
            <w:noWrap/>
            <w:vAlign w:val="center"/>
          </w:tcPr>
          <w:p>
            <w:pPr>
              <w:spacing w:line="360" w:lineRule="auto"/>
              <w:rPr>
                <w:sz w:val="24"/>
                <w:szCs w:val="24"/>
              </w:rPr>
            </w:pPr>
          </w:p>
        </w:tc>
        <w:tc>
          <w:tcPr>
            <w:tcW w:w="1939" w:type="dxa"/>
            <w:noWrap/>
            <w:vAlign w:val="center"/>
          </w:tcPr>
          <w:p>
            <w:pPr>
              <w:spacing w:line="360" w:lineRule="auto"/>
              <w:rPr>
                <w:sz w:val="24"/>
                <w:szCs w:val="24"/>
              </w:rPr>
            </w:pPr>
          </w:p>
        </w:tc>
        <w:tc>
          <w:tcPr>
            <w:tcW w:w="1882" w:type="dxa"/>
            <w:noWrap/>
            <w:vAlign w:val="center"/>
          </w:tcPr>
          <w:p>
            <w:pPr>
              <w:spacing w:line="360" w:lineRule="auto"/>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1" w:type="dxa"/>
            <w:noWrap/>
            <w:vAlign w:val="center"/>
          </w:tcPr>
          <w:p>
            <w:pPr>
              <w:spacing w:line="360" w:lineRule="auto"/>
              <w:rPr>
                <w:rFonts w:hint="eastAsia"/>
                <w:sz w:val="24"/>
                <w:szCs w:val="24"/>
              </w:rPr>
            </w:pPr>
            <w:r>
              <w:rPr>
                <w:rFonts w:hint="eastAsia"/>
                <w:sz w:val="24"/>
                <w:szCs w:val="24"/>
              </w:rPr>
              <w:t>百色</w:t>
            </w:r>
          </w:p>
        </w:tc>
        <w:tc>
          <w:tcPr>
            <w:tcW w:w="1772" w:type="dxa"/>
            <w:noWrap/>
            <w:vAlign w:val="center"/>
          </w:tcPr>
          <w:p>
            <w:pPr>
              <w:spacing w:line="360" w:lineRule="auto"/>
              <w:rPr>
                <w:sz w:val="24"/>
                <w:szCs w:val="24"/>
              </w:rPr>
            </w:pPr>
            <w:r>
              <w:rPr>
                <w:rFonts w:hint="eastAsia"/>
                <w:sz w:val="24"/>
                <w:szCs w:val="24"/>
              </w:rPr>
              <w:t>1114.9</w:t>
            </w:r>
          </w:p>
        </w:tc>
        <w:tc>
          <w:tcPr>
            <w:tcW w:w="1800" w:type="dxa"/>
            <w:noWrap/>
            <w:vAlign w:val="center"/>
          </w:tcPr>
          <w:p>
            <w:pPr>
              <w:spacing w:line="360" w:lineRule="auto"/>
              <w:rPr>
                <w:sz w:val="24"/>
                <w:szCs w:val="24"/>
              </w:rPr>
            </w:pPr>
          </w:p>
        </w:tc>
        <w:tc>
          <w:tcPr>
            <w:tcW w:w="1939" w:type="dxa"/>
            <w:noWrap/>
            <w:vAlign w:val="center"/>
          </w:tcPr>
          <w:p>
            <w:pPr>
              <w:spacing w:line="360" w:lineRule="auto"/>
              <w:rPr>
                <w:sz w:val="24"/>
                <w:szCs w:val="24"/>
              </w:rPr>
            </w:pPr>
          </w:p>
        </w:tc>
        <w:tc>
          <w:tcPr>
            <w:tcW w:w="1882" w:type="dxa"/>
            <w:noWrap/>
            <w:vAlign w:val="center"/>
          </w:tcPr>
          <w:p>
            <w:pPr>
              <w:spacing w:line="360" w:lineRule="auto"/>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1" w:type="dxa"/>
            <w:noWrap/>
            <w:vAlign w:val="center"/>
          </w:tcPr>
          <w:p>
            <w:pPr>
              <w:spacing w:line="360" w:lineRule="auto"/>
              <w:rPr>
                <w:rFonts w:hint="eastAsia"/>
                <w:sz w:val="24"/>
                <w:szCs w:val="24"/>
              </w:rPr>
            </w:pPr>
            <w:r>
              <w:rPr>
                <w:rFonts w:hint="eastAsia"/>
                <w:sz w:val="24"/>
                <w:szCs w:val="24"/>
              </w:rPr>
              <w:t>贺州</w:t>
            </w:r>
          </w:p>
        </w:tc>
        <w:tc>
          <w:tcPr>
            <w:tcW w:w="1772" w:type="dxa"/>
            <w:noWrap/>
            <w:vAlign w:val="center"/>
          </w:tcPr>
          <w:p>
            <w:pPr>
              <w:spacing w:line="360" w:lineRule="auto"/>
              <w:rPr>
                <w:sz w:val="24"/>
                <w:szCs w:val="24"/>
              </w:rPr>
            </w:pPr>
            <w:r>
              <w:rPr>
                <w:rFonts w:hint="eastAsia"/>
                <w:sz w:val="24"/>
                <w:szCs w:val="24"/>
              </w:rPr>
              <w:t>1535.6</w:t>
            </w:r>
          </w:p>
        </w:tc>
        <w:tc>
          <w:tcPr>
            <w:tcW w:w="1800" w:type="dxa"/>
            <w:noWrap/>
            <w:vAlign w:val="center"/>
          </w:tcPr>
          <w:p>
            <w:pPr>
              <w:spacing w:line="360" w:lineRule="auto"/>
              <w:rPr>
                <w:sz w:val="24"/>
                <w:szCs w:val="24"/>
              </w:rPr>
            </w:pPr>
          </w:p>
        </w:tc>
        <w:tc>
          <w:tcPr>
            <w:tcW w:w="1939" w:type="dxa"/>
            <w:noWrap/>
            <w:vAlign w:val="center"/>
          </w:tcPr>
          <w:p>
            <w:pPr>
              <w:spacing w:line="360" w:lineRule="auto"/>
              <w:rPr>
                <w:sz w:val="24"/>
                <w:szCs w:val="24"/>
              </w:rPr>
            </w:pPr>
          </w:p>
        </w:tc>
        <w:tc>
          <w:tcPr>
            <w:tcW w:w="1882" w:type="dxa"/>
            <w:noWrap/>
            <w:vAlign w:val="center"/>
          </w:tcPr>
          <w:p>
            <w:pPr>
              <w:spacing w:line="360" w:lineRule="auto"/>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1" w:type="dxa"/>
            <w:noWrap/>
            <w:vAlign w:val="center"/>
          </w:tcPr>
          <w:p>
            <w:pPr>
              <w:spacing w:line="360" w:lineRule="auto"/>
              <w:rPr>
                <w:rFonts w:hint="eastAsia"/>
                <w:sz w:val="24"/>
                <w:szCs w:val="24"/>
              </w:rPr>
            </w:pPr>
            <w:r>
              <w:rPr>
                <w:rFonts w:hint="eastAsia"/>
                <w:sz w:val="24"/>
                <w:szCs w:val="24"/>
              </w:rPr>
              <w:t>河池</w:t>
            </w:r>
          </w:p>
        </w:tc>
        <w:tc>
          <w:tcPr>
            <w:tcW w:w="1772" w:type="dxa"/>
            <w:noWrap/>
            <w:vAlign w:val="center"/>
          </w:tcPr>
          <w:p>
            <w:pPr>
              <w:spacing w:line="360" w:lineRule="auto"/>
              <w:rPr>
                <w:sz w:val="24"/>
                <w:szCs w:val="24"/>
              </w:rPr>
            </w:pPr>
            <w:r>
              <w:rPr>
                <w:rFonts w:hint="eastAsia"/>
                <w:sz w:val="24"/>
                <w:szCs w:val="24"/>
              </w:rPr>
              <w:t>1493.0</w:t>
            </w:r>
          </w:p>
        </w:tc>
        <w:tc>
          <w:tcPr>
            <w:tcW w:w="1800" w:type="dxa"/>
            <w:noWrap/>
            <w:vAlign w:val="center"/>
          </w:tcPr>
          <w:p>
            <w:pPr>
              <w:spacing w:line="360" w:lineRule="auto"/>
              <w:rPr>
                <w:sz w:val="24"/>
                <w:szCs w:val="24"/>
              </w:rPr>
            </w:pPr>
          </w:p>
        </w:tc>
        <w:tc>
          <w:tcPr>
            <w:tcW w:w="1939" w:type="dxa"/>
            <w:noWrap/>
            <w:vAlign w:val="center"/>
          </w:tcPr>
          <w:p>
            <w:pPr>
              <w:spacing w:line="360" w:lineRule="auto"/>
              <w:rPr>
                <w:sz w:val="24"/>
                <w:szCs w:val="24"/>
              </w:rPr>
            </w:pPr>
          </w:p>
        </w:tc>
        <w:tc>
          <w:tcPr>
            <w:tcW w:w="1882" w:type="dxa"/>
            <w:noWrap/>
            <w:vAlign w:val="center"/>
          </w:tcPr>
          <w:p>
            <w:pPr>
              <w:spacing w:line="360" w:lineRule="auto"/>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1" w:type="dxa"/>
            <w:noWrap/>
            <w:vAlign w:val="center"/>
          </w:tcPr>
          <w:p>
            <w:pPr>
              <w:spacing w:line="360" w:lineRule="auto"/>
              <w:rPr>
                <w:rFonts w:hint="eastAsia"/>
                <w:sz w:val="24"/>
                <w:szCs w:val="24"/>
              </w:rPr>
            </w:pPr>
            <w:r>
              <w:rPr>
                <w:rFonts w:hint="eastAsia"/>
                <w:sz w:val="24"/>
                <w:szCs w:val="24"/>
              </w:rPr>
              <w:t>来宾</w:t>
            </w:r>
          </w:p>
        </w:tc>
        <w:tc>
          <w:tcPr>
            <w:tcW w:w="1772" w:type="dxa"/>
            <w:noWrap/>
            <w:vAlign w:val="center"/>
          </w:tcPr>
          <w:p>
            <w:pPr>
              <w:spacing w:line="360" w:lineRule="auto"/>
              <w:rPr>
                <w:sz w:val="24"/>
                <w:szCs w:val="24"/>
              </w:rPr>
            </w:pPr>
            <w:r>
              <w:rPr>
                <w:rFonts w:hint="eastAsia"/>
                <w:sz w:val="24"/>
                <w:szCs w:val="24"/>
              </w:rPr>
              <w:t>1360.0</w:t>
            </w:r>
          </w:p>
        </w:tc>
        <w:tc>
          <w:tcPr>
            <w:tcW w:w="1800" w:type="dxa"/>
            <w:noWrap/>
            <w:vAlign w:val="center"/>
          </w:tcPr>
          <w:p>
            <w:pPr>
              <w:spacing w:line="360" w:lineRule="auto"/>
              <w:rPr>
                <w:sz w:val="24"/>
                <w:szCs w:val="24"/>
              </w:rPr>
            </w:pPr>
          </w:p>
        </w:tc>
        <w:tc>
          <w:tcPr>
            <w:tcW w:w="1939" w:type="dxa"/>
            <w:noWrap/>
            <w:vAlign w:val="center"/>
          </w:tcPr>
          <w:p>
            <w:pPr>
              <w:spacing w:line="360" w:lineRule="auto"/>
              <w:rPr>
                <w:sz w:val="24"/>
                <w:szCs w:val="24"/>
              </w:rPr>
            </w:pPr>
          </w:p>
        </w:tc>
        <w:tc>
          <w:tcPr>
            <w:tcW w:w="1882" w:type="dxa"/>
            <w:noWrap/>
            <w:vAlign w:val="center"/>
          </w:tcPr>
          <w:p>
            <w:pPr>
              <w:spacing w:line="360" w:lineRule="auto"/>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1" w:type="dxa"/>
            <w:noWrap/>
            <w:vAlign w:val="center"/>
          </w:tcPr>
          <w:p>
            <w:pPr>
              <w:spacing w:line="360" w:lineRule="auto"/>
              <w:rPr>
                <w:rFonts w:hint="eastAsia"/>
                <w:sz w:val="24"/>
                <w:szCs w:val="24"/>
              </w:rPr>
            </w:pPr>
            <w:r>
              <w:rPr>
                <w:rFonts w:hint="eastAsia"/>
                <w:sz w:val="24"/>
                <w:szCs w:val="24"/>
              </w:rPr>
              <w:t>崇左</w:t>
            </w:r>
          </w:p>
        </w:tc>
        <w:tc>
          <w:tcPr>
            <w:tcW w:w="1772" w:type="dxa"/>
            <w:noWrap/>
            <w:vAlign w:val="center"/>
          </w:tcPr>
          <w:p>
            <w:pPr>
              <w:spacing w:line="360" w:lineRule="auto"/>
              <w:rPr>
                <w:sz w:val="24"/>
                <w:szCs w:val="24"/>
              </w:rPr>
            </w:pPr>
            <w:r>
              <w:rPr>
                <w:rFonts w:hint="eastAsia"/>
                <w:sz w:val="24"/>
                <w:szCs w:val="24"/>
              </w:rPr>
              <w:t>1261.0</w:t>
            </w:r>
          </w:p>
        </w:tc>
        <w:tc>
          <w:tcPr>
            <w:tcW w:w="1800" w:type="dxa"/>
            <w:noWrap/>
            <w:vAlign w:val="center"/>
          </w:tcPr>
          <w:p>
            <w:pPr>
              <w:spacing w:line="360" w:lineRule="auto"/>
              <w:rPr>
                <w:sz w:val="24"/>
                <w:szCs w:val="24"/>
              </w:rPr>
            </w:pPr>
          </w:p>
        </w:tc>
        <w:tc>
          <w:tcPr>
            <w:tcW w:w="1939" w:type="dxa"/>
            <w:noWrap/>
            <w:vAlign w:val="center"/>
          </w:tcPr>
          <w:p>
            <w:pPr>
              <w:spacing w:line="360" w:lineRule="auto"/>
              <w:rPr>
                <w:sz w:val="24"/>
                <w:szCs w:val="24"/>
              </w:rPr>
            </w:pPr>
          </w:p>
        </w:tc>
        <w:tc>
          <w:tcPr>
            <w:tcW w:w="1882" w:type="dxa"/>
            <w:noWrap/>
            <w:vAlign w:val="center"/>
          </w:tcPr>
          <w:p>
            <w:pPr>
              <w:spacing w:line="360" w:lineRule="auto"/>
              <w:rPr>
                <w:sz w:val="24"/>
                <w:szCs w:val="24"/>
              </w:rPr>
            </w:pPr>
          </w:p>
        </w:tc>
      </w:tr>
    </w:tbl>
    <w:p>
      <w:pPr>
        <w:spacing w:line="360" w:lineRule="auto"/>
        <w:ind w:firstLine="420" w:firstLineChars="200"/>
        <w:rPr>
          <w:szCs w:val="24"/>
        </w:rPr>
      </w:pPr>
      <w:r>
        <w:rPr>
          <w:rFonts w:hint="eastAsia"/>
          <w:szCs w:val="24"/>
        </w:rPr>
        <w:t>注：1 表中的统计数据年限为xx年。</w:t>
      </w:r>
    </w:p>
    <w:p>
      <w:pPr>
        <w:spacing w:line="360" w:lineRule="auto"/>
        <w:ind w:firstLine="420" w:firstLineChars="200"/>
        <w:rPr>
          <w:szCs w:val="24"/>
        </w:rPr>
      </w:pPr>
      <w:r>
        <w:rPr>
          <w:rFonts w:hint="eastAsia"/>
          <w:szCs w:val="24"/>
        </w:rPr>
        <w:t>2 其他城市的设计控制雨量，可参考所列类似城市的数值，或依据当地降雨资料进行统计计算确定。</w:t>
      </w:r>
    </w:p>
    <w:p>
      <w:pPr>
        <w:spacing w:line="360" w:lineRule="auto"/>
        <w:ind w:firstLine="480" w:firstLineChars="200"/>
        <w:rPr>
          <w:rFonts w:hint="eastAsia"/>
          <w:sz w:val="24"/>
          <w:szCs w:val="24"/>
        </w:rPr>
      </w:pPr>
      <w:r>
        <w:rPr>
          <w:rFonts w:hint="eastAsia"/>
          <w:sz w:val="24"/>
          <w:szCs w:val="24"/>
        </w:rPr>
        <w:t>设计时应根据年径流总量控制率对应的设计控制雨量来确定雨水设施规模和最终方案，有条件时，可通过相关雨水控制利用模型进行设计计算；也可采用简单计算方法，通过设计控制雨量、场地综合径流系数、总汇水面积来确定项目雨水设施需要的总规模，再分别计算滞蓄、调蓄和收集回用等措施实现的控制容积，达到设计控制雨量对应的控制规模要求，即判定得分。</w:t>
      </w:r>
    </w:p>
    <w:p>
      <w:pPr>
        <w:spacing w:line="360" w:lineRule="auto"/>
        <w:ind w:firstLine="480" w:firstLineChars="200"/>
        <w:rPr>
          <w:rFonts w:hint="eastAsia"/>
          <w:sz w:val="24"/>
          <w:szCs w:val="24"/>
        </w:rPr>
      </w:pPr>
      <w:r>
        <w:rPr>
          <w:rFonts w:hint="eastAsia"/>
          <w:sz w:val="24"/>
          <w:szCs w:val="24"/>
        </w:rPr>
        <w:t>对于地质、气候等自然条件特殊的地区，如湿陷性黄土地区</w:t>
      </w:r>
      <w:r>
        <w:rPr>
          <w:sz w:val="24"/>
          <w:szCs w:val="24"/>
        </w:rPr>
        <w:t>等，应根据当地相关规定实施雨水控制利用。</w:t>
      </w:r>
    </w:p>
    <w:p>
      <w:pPr>
        <w:spacing w:line="360" w:lineRule="auto"/>
        <w:ind w:firstLine="480" w:firstLineChars="200"/>
        <w:rPr>
          <w:sz w:val="24"/>
          <w:szCs w:val="24"/>
        </w:rPr>
      </w:pPr>
      <w:r>
        <w:rPr>
          <w:rFonts w:hint="eastAsia"/>
          <w:sz w:val="24"/>
          <w:szCs w:val="24"/>
        </w:rPr>
        <w:t>本条的评价方法为：预评价查阅设计说明、室外雨水平面图、雨水利用设施工艺图或调蓄设施详图等室外给水排水专业设计文件，总平面竖向图、场地铺装平面图、种植图、雨水生态调蓄、处理设施详图等景观专业设计文件，年径流总量控制率计算书、设计控制雨量计算书、场地雨水综合利用方案或专项设计文件。评价查阅预评价方式涉及的竣工文件，年径流总量控制率计算书、设计控制雨量计算书、场地雨水综合利用方案或专项设计文件。</w:t>
      </w:r>
    </w:p>
    <w:p>
      <w:pPr>
        <w:spacing w:line="360" w:lineRule="auto"/>
        <w:jc w:val="left"/>
        <w:rPr>
          <w:sz w:val="24"/>
          <w:szCs w:val="24"/>
        </w:rPr>
      </w:pPr>
      <w:r>
        <w:rPr>
          <w:rFonts w:hint="eastAsia"/>
          <w:b/>
          <w:sz w:val="24"/>
          <w:szCs w:val="24"/>
        </w:rPr>
        <w:t xml:space="preserve">8.2.3  </w:t>
      </w:r>
      <w:r>
        <w:rPr>
          <w:rFonts w:hint="eastAsia"/>
          <w:sz w:val="24"/>
          <w:szCs w:val="24"/>
        </w:rPr>
        <w:t>本条适用于各类民用建筑的预评价、评价。</w:t>
      </w:r>
    </w:p>
    <w:p>
      <w:pPr>
        <w:spacing w:line="360" w:lineRule="auto"/>
        <w:ind w:firstLine="480" w:firstLineChars="200"/>
        <w:jc w:val="left"/>
        <w:rPr>
          <w:rFonts w:hint="eastAsia"/>
          <w:sz w:val="24"/>
          <w:szCs w:val="24"/>
        </w:rPr>
      </w:pPr>
      <w:r>
        <w:rPr>
          <w:rFonts w:hint="eastAsia"/>
          <w:sz w:val="24"/>
          <w:szCs w:val="24"/>
        </w:rPr>
        <w:t>本条在本标准2016年版第4.2.2条的基础上发展而来。绿地率指建设项目用地范围内各类绿地面积的总和占该项目总用地面积的比率（％）。绿地包括建设项目用地中各类用作绿化的用地。合理设置绿地可起到改善和美化环境、调节小气候、缓解城市热岛效应等作用。绿地率以及公共绿地的数量是衡量住区环境质量的重要指标之一。</w:t>
      </w:r>
    </w:p>
    <w:p>
      <w:pPr>
        <w:spacing w:line="360" w:lineRule="auto"/>
        <w:ind w:firstLine="480" w:firstLineChars="200"/>
        <w:jc w:val="left"/>
        <w:rPr>
          <w:sz w:val="24"/>
          <w:szCs w:val="24"/>
        </w:rPr>
      </w:pPr>
      <w:r>
        <w:rPr>
          <w:rFonts w:hint="eastAsia"/>
          <w:sz w:val="24"/>
          <w:szCs w:val="24"/>
        </w:rPr>
        <w:t>根据现行国家标准《城市居住区规划设计标准》GB50180，集中绿地是指居住街坊配套建设、可供居民休憩、开展户外活动的绿化场地。集中绿地应满足的基本要求：宽度不小于8m，面积不小于400m</w:t>
      </w:r>
      <w:r>
        <w:rPr>
          <w:rFonts w:hint="eastAsia"/>
          <w:sz w:val="24"/>
          <w:szCs w:val="24"/>
          <w:vertAlign w:val="superscript"/>
        </w:rPr>
        <w:t>2</w:t>
      </w:r>
      <w:r>
        <w:rPr>
          <w:rFonts w:hint="eastAsia"/>
          <w:sz w:val="24"/>
          <w:szCs w:val="24"/>
        </w:rPr>
        <w:t>，集中绿地应设置供幼儿、老年人在家门口日常户外活动的场地。并应有不少于1/3的绿地面积在标准的建筑日照阴影线（即日照标准的等时线）范围之外，并在此区域设置供儿童、老年人户外活动场地，为老年人及儿童在家门口提供日常游憩及游戏活动场所。</w:t>
      </w:r>
    </w:p>
    <w:p>
      <w:pPr>
        <w:spacing w:line="360" w:lineRule="auto"/>
        <w:ind w:firstLine="480" w:firstLineChars="200"/>
        <w:jc w:val="left"/>
        <w:rPr>
          <w:sz w:val="24"/>
          <w:szCs w:val="24"/>
        </w:rPr>
      </w:pPr>
      <w:r>
        <w:rPr>
          <w:rFonts w:hint="eastAsia"/>
          <w:sz w:val="24"/>
          <w:szCs w:val="24"/>
        </w:rPr>
        <w:t>为保障城市公共空间的品质、提高服务质量，每个城市对城市中不同地段或不同性质的公共设施建设项目，都制定有相应的绿地管理控制要求。本条鼓励公共建筑项目优化建筑布局，提供更多的绿化用地或绿化广场，创造更加宜人的公共空间；鼓励绿地或绿化广场设置休憩、娱乐等设施并定时向社会公众免费开放，以提供更多的公共活动空间。</w:t>
      </w:r>
    </w:p>
    <w:p>
      <w:pPr>
        <w:spacing w:line="360" w:lineRule="auto"/>
        <w:ind w:firstLine="480" w:firstLineChars="200"/>
        <w:jc w:val="left"/>
        <w:rPr>
          <w:sz w:val="24"/>
          <w:szCs w:val="24"/>
        </w:rPr>
      </w:pPr>
      <w:r>
        <w:rPr>
          <w:rFonts w:hint="eastAsia"/>
          <w:sz w:val="24"/>
          <w:szCs w:val="24"/>
        </w:rPr>
        <w:t>本条的评价方法为：预评价查阅规划许可的设计条件、相关设计文件、日照分析报告、绿地率计算书；评价查阅相关竣工图、绿地率计算书。</w:t>
      </w:r>
    </w:p>
    <w:p>
      <w:pPr>
        <w:spacing w:line="360" w:lineRule="auto"/>
        <w:jc w:val="left"/>
        <w:rPr>
          <w:sz w:val="24"/>
          <w:szCs w:val="24"/>
        </w:rPr>
      </w:pPr>
      <w:r>
        <w:rPr>
          <w:rFonts w:hint="eastAsia"/>
          <w:b/>
          <w:sz w:val="24"/>
          <w:szCs w:val="24"/>
        </w:rPr>
        <w:t xml:space="preserve">8.2.4 </w:t>
      </w:r>
      <w:r>
        <w:rPr>
          <w:rFonts w:hint="eastAsia"/>
          <w:sz w:val="24"/>
          <w:szCs w:val="24"/>
        </w:rPr>
        <w:t>本条适用于各类民用建筑的预评价、评价。幼儿园、中小学校设置吸烟区不得分。</w:t>
      </w:r>
    </w:p>
    <w:p>
      <w:pPr>
        <w:spacing w:line="360" w:lineRule="auto"/>
        <w:ind w:firstLine="480" w:firstLineChars="200"/>
        <w:jc w:val="left"/>
        <w:rPr>
          <w:sz w:val="24"/>
          <w:szCs w:val="24"/>
        </w:rPr>
      </w:pPr>
      <w:r>
        <w:rPr>
          <w:rFonts w:hint="eastAsia"/>
          <w:sz w:val="24"/>
          <w:szCs w:val="24"/>
        </w:rPr>
        <w:t>本条为新增条文。本标准第5.1.1条规定了室内禁止吸烟，同时需要为“烟民”设置专门的室外吸烟区，有效地引导有吸烟习惯的人群，走出室内，在规定的合理范围内吸烟，做到“疏堵结合”。室外吸烟区的选择还须避免人员密集区、有遮阴的人员聚集区，建筑出入口、雨篷等半开敞的空间、可开启窗户、建筑新风引入口、儿童年和老年人活动区域等位置，吸烟区内须配置垃圾筒和吸烟有害健康的警示标识。</w:t>
      </w:r>
    </w:p>
    <w:p>
      <w:pPr>
        <w:spacing w:line="360" w:lineRule="auto"/>
        <w:ind w:firstLine="480" w:firstLineChars="200"/>
        <w:jc w:val="left"/>
        <w:rPr>
          <w:sz w:val="24"/>
          <w:szCs w:val="24"/>
        </w:rPr>
      </w:pPr>
      <w:r>
        <w:rPr>
          <w:rFonts w:hint="eastAsia"/>
          <w:sz w:val="24"/>
          <w:szCs w:val="24"/>
        </w:rPr>
        <w:t>本条的评价方法为：预评价查阅相关设计文件；评价查阅相关竣工图。</w:t>
      </w:r>
    </w:p>
    <w:p>
      <w:pPr>
        <w:spacing w:line="360" w:lineRule="auto"/>
        <w:jc w:val="left"/>
        <w:rPr>
          <w:sz w:val="24"/>
          <w:szCs w:val="24"/>
        </w:rPr>
      </w:pPr>
      <w:r>
        <w:rPr>
          <w:rFonts w:hint="eastAsia"/>
          <w:b/>
          <w:sz w:val="24"/>
          <w:szCs w:val="24"/>
        </w:rPr>
        <w:t xml:space="preserve">8.2.5  </w:t>
      </w:r>
      <w:r>
        <w:rPr>
          <w:rFonts w:hint="eastAsia"/>
          <w:sz w:val="24"/>
          <w:szCs w:val="24"/>
        </w:rPr>
        <w:t>本条适用于各类民用建筑的预评价、评价。</w:t>
      </w:r>
    </w:p>
    <w:p>
      <w:pPr>
        <w:spacing w:line="360" w:lineRule="auto"/>
        <w:ind w:firstLine="480" w:firstLineChars="200"/>
        <w:rPr>
          <w:sz w:val="24"/>
          <w:szCs w:val="24"/>
        </w:rPr>
      </w:pPr>
      <w:r>
        <w:rPr>
          <w:rFonts w:hint="eastAsia"/>
          <w:sz w:val="24"/>
          <w:szCs w:val="24"/>
        </w:rPr>
        <w:t>本条适用于各类民用建筑的预评价、评价。</w:t>
      </w:r>
    </w:p>
    <w:p>
      <w:pPr>
        <w:spacing w:line="360" w:lineRule="auto"/>
        <w:ind w:firstLine="480" w:firstLineChars="200"/>
        <w:rPr>
          <w:sz w:val="24"/>
          <w:szCs w:val="24"/>
        </w:rPr>
      </w:pPr>
      <w:r>
        <w:rPr>
          <w:rFonts w:hint="eastAsia"/>
          <w:sz w:val="24"/>
          <w:szCs w:val="24"/>
        </w:rPr>
        <w:t>本条沿用本标准 2016年版第4.2.14 条。</w:t>
      </w:r>
    </w:p>
    <w:p>
      <w:pPr>
        <w:spacing w:line="360" w:lineRule="auto"/>
        <w:ind w:firstLine="480" w:firstLineChars="200"/>
        <w:rPr>
          <w:sz w:val="24"/>
          <w:szCs w:val="24"/>
        </w:rPr>
      </w:pPr>
      <w:r>
        <w:rPr>
          <w:rFonts w:hint="eastAsia"/>
          <w:sz w:val="24"/>
          <w:szCs w:val="24"/>
        </w:rPr>
        <w:t>绿色雨水基础设施有雨水花园、下凹式绿地、屋顶绿化、植被浅沟、截污设施、渗透设施、雨水塘、雨水湿地、景观水体等。绿色雨水基础设施有别于传统的灰色雨水设施（雨水口、雨水管道、调蓄池等），能够以自然的方式削减雨水径流、控制径流污染、保护水环境。</w:t>
      </w:r>
    </w:p>
    <w:p>
      <w:pPr>
        <w:spacing w:line="360" w:lineRule="auto"/>
        <w:ind w:firstLine="600" w:firstLineChars="250"/>
        <w:rPr>
          <w:sz w:val="24"/>
          <w:szCs w:val="24"/>
        </w:rPr>
      </w:pPr>
      <w:r>
        <w:rPr>
          <w:rFonts w:hint="eastAsia"/>
          <w:sz w:val="24"/>
          <w:szCs w:val="24"/>
        </w:rPr>
        <w:t>第1款，能调蓄雨水的景观绿地包括下凹式绿地、雨水花园、树池、干塘等。</w:t>
      </w:r>
    </w:p>
    <w:p>
      <w:pPr>
        <w:spacing w:line="360" w:lineRule="auto"/>
        <w:ind w:firstLine="600" w:firstLineChars="250"/>
        <w:rPr>
          <w:sz w:val="24"/>
          <w:szCs w:val="24"/>
        </w:rPr>
      </w:pPr>
      <w:r>
        <w:rPr>
          <w:rFonts w:hint="eastAsia"/>
          <w:sz w:val="24"/>
          <w:szCs w:val="24"/>
        </w:rPr>
        <w:t>第2、3款分别针对屋面和道路。地面生态设施是指下凹式绿地、植草沟、树池等，即在地势较低的区域种植植物，通过植物截流、土壤过滤滞留处理小流量径流雨水，达到控制径流污染的目的。通过雨水断接、场地竖向组织等措施，可以引导屋面雨水和道路雨水进入地面生态设施进行调蓄、下渗和利用，同时采取相应截污措施，保证雨水在滞蓄和排放过程中有良好的衔接关系，保障排入自然水体、景观水体或市政雨水管的雨水的水质、水量安全。屋面雨水采用断接形式时，需保证雨水能够畅通地进入地面生态设施。</w:t>
      </w:r>
    </w:p>
    <w:p>
      <w:pPr>
        <w:spacing w:line="360" w:lineRule="auto"/>
        <w:ind w:firstLine="600" w:firstLineChars="250"/>
        <w:rPr>
          <w:sz w:val="24"/>
          <w:szCs w:val="24"/>
        </w:rPr>
      </w:pPr>
      <w:r>
        <w:rPr>
          <w:rFonts w:hint="eastAsia"/>
          <w:sz w:val="24"/>
          <w:szCs w:val="24"/>
        </w:rPr>
        <w:t>本条的评价方法为：预评价查阅项目场地原地形图，含绿化、场地竖向设计等内容的总图设计文件，景观总平面及竖向图、场地铺装平面图、种植图、地面生态设施详图、雨水断接做法及室外雨水平面等景观专业设计文件，绿地及透水铺装比例计算书。若涉及第2、3款，重点审核雨水进入地面生态设施的衔接引导措施，以及地面生态设施汇水区域内的屋面或路面位置、面积；涉及第4款，重点审核场地铺装图中透水铺装地面位置、面积、铺装材料和透水铺装方式。评价查阅预评价方式涉及的竣工文件，绿地及透水铺装比例计算书。</w:t>
      </w:r>
    </w:p>
    <w:p>
      <w:pPr>
        <w:spacing w:line="360" w:lineRule="auto"/>
        <w:ind w:firstLine="560" w:firstLineChars="200"/>
        <w:jc w:val="center"/>
        <w:rPr>
          <w:rFonts w:eastAsia="仿宋"/>
          <w:sz w:val="28"/>
          <w:szCs w:val="28"/>
        </w:rPr>
      </w:pPr>
      <w:r>
        <w:rPr>
          <w:rFonts w:hint="eastAsia" w:eastAsia="仿宋"/>
          <w:sz w:val="28"/>
          <w:szCs w:val="28"/>
        </w:rPr>
        <w:t>Ⅱ 室外物理环境</w:t>
      </w:r>
    </w:p>
    <w:p>
      <w:pPr>
        <w:spacing w:line="360" w:lineRule="auto"/>
        <w:jc w:val="left"/>
        <w:rPr>
          <w:sz w:val="24"/>
          <w:szCs w:val="24"/>
        </w:rPr>
      </w:pPr>
      <w:r>
        <w:rPr>
          <w:rFonts w:hint="eastAsia"/>
          <w:b/>
          <w:sz w:val="24"/>
          <w:szCs w:val="24"/>
        </w:rPr>
        <w:t xml:space="preserve">8.2.6  </w:t>
      </w:r>
      <w:r>
        <w:rPr>
          <w:rFonts w:hint="eastAsia"/>
          <w:sz w:val="24"/>
          <w:szCs w:val="24"/>
        </w:rPr>
        <w:t>本条适用于各类民用建筑的预评价、评价。</w:t>
      </w:r>
    </w:p>
    <w:p>
      <w:pPr>
        <w:spacing w:line="360" w:lineRule="auto"/>
        <w:ind w:firstLine="480" w:firstLineChars="200"/>
        <w:jc w:val="left"/>
        <w:rPr>
          <w:sz w:val="24"/>
          <w:szCs w:val="24"/>
        </w:rPr>
      </w:pPr>
      <w:r>
        <w:rPr>
          <w:rFonts w:hint="eastAsia"/>
          <w:sz w:val="24"/>
          <w:szCs w:val="24"/>
        </w:rPr>
        <w:t>本条在本标准2016年版第4.2.5条基础上发展而来。国家标准《声环境质量标准》GB3096-2008中对各类声环境功能区的环境噪声等效声级限值进行了规定，见表5。</w:t>
      </w:r>
    </w:p>
    <w:p>
      <w:pPr>
        <w:spacing w:line="360" w:lineRule="auto"/>
        <w:jc w:val="center"/>
        <w:rPr>
          <w:rFonts w:hint="eastAsia" w:eastAsia="黑体"/>
          <w:sz w:val="22"/>
        </w:rPr>
      </w:pPr>
      <w:r>
        <w:rPr>
          <w:rFonts w:hint="eastAsia" w:eastAsia="黑体"/>
          <w:sz w:val="22"/>
        </w:rPr>
        <w:t>表5 各类声环境功能区的环境噪声等效声级限值（dB(A)）</w:t>
      </w:r>
    </w:p>
    <w:tbl>
      <w:tblPr>
        <w:tblStyle w:val="11"/>
        <w:tblW w:w="7295" w:type="dxa"/>
        <w:tblInd w:w="110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59"/>
        <w:gridCol w:w="1701"/>
        <w:gridCol w:w="2126"/>
        <w:gridCol w:w="19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466" w:hRule="atLeast"/>
        </w:trPr>
        <w:tc>
          <w:tcPr>
            <w:tcW w:w="3260" w:type="dxa"/>
            <w:gridSpan w:val="2"/>
            <w:vMerge w:val="restart"/>
            <w:noWrap w:val="0"/>
            <w:vAlign w:val="center"/>
          </w:tcPr>
          <w:p>
            <w:pPr>
              <w:spacing w:line="360" w:lineRule="auto"/>
              <w:jc w:val="center"/>
              <w:rPr>
                <w:sz w:val="24"/>
                <w:szCs w:val="24"/>
              </w:rPr>
            </w:pPr>
            <w:r>
              <w:rPr>
                <w:rFonts w:hint="eastAsia"/>
                <w:sz w:val="24"/>
                <w:szCs w:val="24"/>
              </w:rPr>
              <w:t>声环境功能区类别</w:t>
            </w:r>
          </w:p>
        </w:tc>
        <w:tc>
          <w:tcPr>
            <w:tcW w:w="4035" w:type="dxa"/>
            <w:gridSpan w:val="2"/>
            <w:noWrap w:val="0"/>
            <w:vAlign w:val="center"/>
          </w:tcPr>
          <w:p>
            <w:pPr>
              <w:spacing w:line="360" w:lineRule="auto"/>
              <w:jc w:val="center"/>
              <w:rPr>
                <w:sz w:val="24"/>
                <w:szCs w:val="24"/>
              </w:rPr>
            </w:pPr>
            <w:r>
              <w:rPr>
                <w:rFonts w:hint="eastAsia"/>
                <w:sz w:val="24"/>
                <w:szCs w:val="24"/>
              </w:rPr>
              <w:t>时段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453" w:hRule="atLeast"/>
        </w:trPr>
        <w:tc>
          <w:tcPr>
            <w:tcW w:w="3260" w:type="dxa"/>
            <w:gridSpan w:val="2"/>
            <w:vMerge w:val="continue"/>
            <w:noWrap w:val="0"/>
            <w:vAlign w:val="center"/>
          </w:tcPr>
          <w:p>
            <w:pPr>
              <w:spacing w:line="360" w:lineRule="auto"/>
              <w:jc w:val="center"/>
              <w:rPr>
                <w:sz w:val="24"/>
                <w:szCs w:val="24"/>
              </w:rPr>
            </w:pPr>
          </w:p>
        </w:tc>
        <w:tc>
          <w:tcPr>
            <w:tcW w:w="2126" w:type="dxa"/>
            <w:noWrap w:val="0"/>
            <w:vAlign w:val="center"/>
          </w:tcPr>
          <w:p>
            <w:pPr>
              <w:spacing w:line="360" w:lineRule="auto"/>
              <w:jc w:val="center"/>
              <w:rPr>
                <w:sz w:val="24"/>
                <w:szCs w:val="24"/>
              </w:rPr>
            </w:pPr>
            <w:r>
              <w:rPr>
                <w:rFonts w:hint="eastAsia"/>
                <w:sz w:val="24"/>
                <w:szCs w:val="24"/>
              </w:rPr>
              <w:t>昼间</w:t>
            </w:r>
          </w:p>
        </w:tc>
        <w:tc>
          <w:tcPr>
            <w:tcW w:w="1909" w:type="dxa"/>
            <w:noWrap w:val="0"/>
            <w:vAlign w:val="center"/>
          </w:tcPr>
          <w:p>
            <w:pPr>
              <w:spacing w:line="360" w:lineRule="auto"/>
              <w:jc w:val="center"/>
              <w:rPr>
                <w:sz w:val="24"/>
                <w:szCs w:val="24"/>
              </w:rPr>
            </w:pPr>
            <w:r>
              <w:rPr>
                <w:rFonts w:hint="eastAsia"/>
                <w:sz w:val="24"/>
                <w:szCs w:val="24"/>
              </w:rPr>
              <w:t>夜间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453" w:hRule="atLeast"/>
        </w:trPr>
        <w:tc>
          <w:tcPr>
            <w:tcW w:w="3260" w:type="dxa"/>
            <w:gridSpan w:val="2"/>
            <w:noWrap w:val="0"/>
            <w:vAlign w:val="center"/>
          </w:tcPr>
          <w:p>
            <w:pPr>
              <w:spacing w:line="360" w:lineRule="auto"/>
              <w:jc w:val="center"/>
              <w:rPr>
                <w:sz w:val="24"/>
                <w:szCs w:val="24"/>
              </w:rPr>
            </w:pPr>
            <w:r>
              <w:rPr>
                <w:rFonts w:hint="eastAsia"/>
                <w:sz w:val="24"/>
                <w:szCs w:val="24"/>
              </w:rPr>
              <w:t>0类</w:t>
            </w:r>
          </w:p>
        </w:tc>
        <w:tc>
          <w:tcPr>
            <w:tcW w:w="2126" w:type="dxa"/>
            <w:noWrap w:val="0"/>
            <w:vAlign w:val="center"/>
          </w:tcPr>
          <w:p>
            <w:pPr>
              <w:spacing w:line="360" w:lineRule="auto"/>
              <w:jc w:val="center"/>
              <w:rPr>
                <w:sz w:val="24"/>
                <w:szCs w:val="24"/>
              </w:rPr>
            </w:pPr>
            <w:r>
              <w:rPr>
                <w:rFonts w:hint="eastAsia"/>
                <w:sz w:val="24"/>
                <w:szCs w:val="24"/>
              </w:rPr>
              <w:t>50</w:t>
            </w:r>
          </w:p>
        </w:tc>
        <w:tc>
          <w:tcPr>
            <w:tcW w:w="1909" w:type="dxa"/>
            <w:noWrap w:val="0"/>
            <w:vAlign w:val="center"/>
          </w:tcPr>
          <w:p>
            <w:pPr>
              <w:spacing w:line="360" w:lineRule="auto"/>
              <w:jc w:val="center"/>
              <w:rPr>
                <w:sz w:val="24"/>
                <w:szCs w:val="24"/>
              </w:rPr>
            </w:pPr>
            <w:r>
              <w:rPr>
                <w:rFonts w:hint="eastAsia"/>
                <w:sz w:val="24"/>
                <w:szCs w:val="24"/>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453" w:hRule="atLeast"/>
        </w:trPr>
        <w:tc>
          <w:tcPr>
            <w:tcW w:w="3260" w:type="dxa"/>
            <w:gridSpan w:val="2"/>
            <w:noWrap w:val="0"/>
            <w:vAlign w:val="center"/>
          </w:tcPr>
          <w:p>
            <w:pPr>
              <w:spacing w:line="360" w:lineRule="auto"/>
              <w:jc w:val="center"/>
              <w:rPr>
                <w:sz w:val="24"/>
                <w:szCs w:val="24"/>
              </w:rPr>
            </w:pPr>
            <w:r>
              <w:rPr>
                <w:rFonts w:hint="eastAsia"/>
                <w:sz w:val="24"/>
                <w:szCs w:val="24"/>
              </w:rPr>
              <w:t>1类</w:t>
            </w:r>
          </w:p>
        </w:tc>
        <w:tc>
          <w:tcPr>
            <w:tcW w:w="2126" w:type="dxa"/>
            <w:noWrap w:val="0"/>
            <w:vAlign w:val="center"/>
          </w:tcPr>
          <w:p>
            <w:pPr>
              <w:spacing w:line="360" w:lineRule="auto"/>
              <w:jc w:val="center"/>
              <w:rPr>
                <w:sz w:val="24"/>
                <w:szCs w:val="24"/>
              </w:rPr>
            </w:pPr>
            <w:r>
              <w:rPr>
                <w:rFonts w:hint="eastAsia"/>
                <w:sz w:val="24"/>
                <w:szCs w:val="24"/>
              </w:rPr>
              <w:t>55</w:t>
            </w:r>
          </w:p>
        </w:tc>
        <w:tc>
          <w:tcPr>
            <w:tcW w:w="1909" w:type="dxa"/>
            <w:noWrap w:val="0"/>
            <w:vAlign w:val="center"/>
          </w:tcPr>
          <w:p>
            <w:pPr>
              <w:spacing w:line="360" w:lineRule="auto"/>
              <w:jc w:val="center"/>
              <w:rPr>
                <w:sz w:val="24"/>
                <w:szCs w:val="24"/>
              </w:rPr>
            </w:pPr>
            <w:r>
              <w:rPr>
                <w:rFonts w:hint="eastAsia"/>
                <w:sz w:val="24"/>
                <w:szCs w:val="24"/>
              </w:rPr>
              <w:t>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453" w:hRule="atLeast"/>
        </w:trPr>
        <w:tc>
          <w:tcPr>
            <w:tcW w:w="3260" w:type="dxa"/>
            <w:gridSpan w:val="2"/>
            <w:noWrap w:val="0"/>
            <w:vAlign w:val="center"/>
          </w:tcPr>
          <w:p>
            <w:pPr>
              <w:spacing w:line="360" w:lineRule="auto"/>
              <w:jc w:val="center"/>
              <w:rPr>
                <w:sz w:val="24"/>
                <w:szCs w:val="24"/>
              </w:rPr>
            </w:pPr>
            <w:r>
              <w:rPr>
                <w:rFonts w:hint="eastAsia"/>
                <w:sz w:val="24"/>
                <w:szCs w:val="24"/>
              </w:rPr>
              <w:t>2类</w:t>
            </w:r>
          </w:p>
        </w:tc>
        <w:tc>
          <w:tcPr>
            <w:tcW w:w="2126" w:type="dxa"/>
            <w:noWrap w:val="0"/>
            <w:vAlign w:val="center"/>
          </w:tcPr>
          <w:p>
            <w:pPr>
              <w:spacing w:line="360" w:lineRule="auto"/>
              <w:jc w:val="center"/>
              <w:rPr>
                <w:sz w:val="24"/>
                <w:szCs w:val="24"/>
              </w:rPr>
            </w:pPr>
            <w:r>
              <w:rPr>
                <w:rFonts w:hint="eastAsia"/>
                <w:sz w:val="24"/>
                <w:szCs w:val="24"/>
              </w:rPr>
              <w:t>60</w:t>
            </w:r>
          </w:p>
        </w:tc>
        <w:tc>
          <w:tcPr>
            <w:tcW w:w="1909" w:type="dxa"/>
            <w:noWrap w:val="0"/>
            <w:vAlign w:val="center"/>
          </w:tcPr>
          <w:p>
            <w:pPr>
              <w:spacing w:line="360" w:lineRule="auto"/>
              <w:jc w:val="center"/>
              <w:rPr>
                <w:sz w:val="24"/>
                <w:szCs w:val="24"/>
              </w:rPr>
            </w:pPr>
            <w:r>
              <w:rPr>
                <w:rFonts w:hint="eastAsia"/>
                <w:sz w:val="24"/>
                <w:szCs w:val="24"/>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466" w:hRule="atLeast"/>
        </w:trPr>
        <w:tc>
          <w:tcPr>
            <w:tcW w:w="3260" w:type="dxa"/>
            <w:gridSpan w:val="2"/>
            <w:noWrap w:val="0"/>
            <w:vAlign w:val="center"/>
          </w:tcPr>
          <w:p>
            <w:pPr>
              <w:spacing w:line="360" w:lineRule="auto"/>
              <w:jc w:val="center"/>
              <w:rPr>
                <w:sz w:val="24"/>
                <w:szCs w:val="24"/>
              </w:rPr>
            </w:pPr>
            <w:r>
              <w:rPr>
                <w:rFonts w:hint="eastAsia"/>
                <w:sz w:val="24"/>
                <w:szCs w:val="24"/>
              </w:rPr>
              <w:t>3类</w:t>
            </w:r>
          </w:p>
        </w:tc>
        <w:tc>
          <w:tcPr>
            <w:tcW w:w="2126" w:type="dxa"/>
            <w:noWrap w:val="0"/>
            <w:vAlign w:val="center"/>
          </w:tcPr>
          <w:p>
            <w:pPr>
              <w:spacing w:line="360" w:lineRule="auto"/>
              <w:jc w:val="center"/>
              <w:rPr>
                <w:sz w:val="24"/>
                <w:szCs w:val="24"/>
              </w:rPr>
            </w:pPr>
            <w:r>
              <w:rPr>
                <w:rFonts w:hint="eastAsia"/>
                <w:sz w:val="24"/>
                <w:szCs w:val="24"/>
              </w:rPr>
              <w:t>65</w:t>
            </w:r>
          </w:p>
        </w:tc>
        <w:tc>
          <w:tcPr>
            <w:tcW w:w="1909" w:type="dxa"/>
            <w:noWrap w:val="0"/>
            <w:vAlign w:val="center"/>
          </w:tcPr>
          <w:p>
            <w:pPr>
              <w:spacing w:line="360" w:lineRule="auto"/>
              <w:jc w:val="center"/>
              <w:rPr>
                <w:sz w:val="24"/>
                <w:szCs w:val="24"/>
              </w:rPr>
            </w:pPr>
            <w:r>
              <w:rPr>
                <w:rFonts w:hint="eastAsia"/>
                <w:sz w:val="24"/>
                <w:szCs w:val="24"/>
              </w:rPr>
              <w:t>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453" w:hRule="atLeast"/>
        </w:trPr>
        <w:tc>
          <w:tcPr>
            <w:tcW w:w="1559" w:type="dxa"/>
            <w:vMerge w:val="restart"/>
            <w:noWrap w:val="0"/>
            <w:vAlign w:val="center"/>
          </w:tcPr>
          <w:p>
            <w:pPr>
              <w:spacing w:line="360" w:lineRule="auto"/>
              <w:jc w:val="center"/>
              <w:rPr>
                <w:sz w:val="24"/>
                <w:szCs w:val="24"/>
              </w:rPr>
            </w:pPr>
            <w:r>
              <w:rPr>
                <w:rFonts w:hint="eastAsia"/>
                <w:sz w:val="24"/>
                <w:szCs w:val="24"/>
              </w:rPr>
              <w:t>4类</w:t>
            </w:r>
          </w:p>
        </w:tc>
        <w:tc>
          <w:tcPr>
            <w:tcW w:w="1701" w:type="dxa"/>
            <w:noWrap w:val="0"/>
            <w:vAlign w:val="center"/>
          </w:tcPr>
          <w:p>
            <w:pPr>
              <w:spacing w:line="360" w:lineRule="auto"/>
              <w:jc w:val="center"/>
              <w:rPr>
                <w:sz w:val="24"/>
                <w:szCs w:val="24"/>
              </w:rPr>
            </w:pPr>
            <w:r>
              <w:rPr>
                <w:rFonts w:hint="eastAsia"/>
                <w:sz w:val="24"/>
                <w:szCs w:val="24"/>
              </w:rPr>
              <w:t>4a类</w:t>
            </w:r>
          </w:p>
        </w:tc>
        <w:tc>
          <w:tcPr>
            <w:tcW w:w="2126" w:type="dxa"/>
            <w:noWrap w:val="0"/>
            <w:vAlign w:val="center"/>
          </w:tcPr>
          <w:p>
            <w:pPr>
              <w:spacing w:line="360" w:lineRule="auto"/>
              <w:jc w:val="center"/>
              <w:rPr>
                <w:sz w:val="24"/>
                <w:szCs w:val="24"/>
              </w:rPr>
            </w:pPr>
            <w:r>
              <w:rPr>
                <w:rFonts w:hint="eastAsia"/>
                <w:sz w:val="24"/>
                <w:szCs w:val="24"/>
              </w:rPr>
              <w:t>70</w:t>
            </w:r>
          </w:p>
        </w:tc>
        <w:tc>
          <w:tcPr>
            <w:tcW w:w="1909" w:type="dxa"/>
            <w:noWrap w:val="0"/>
            <w:vAlign w:val="center"/>
          </w:tcPr>
          <w:p>
            <w:pPr>
              <w:spacing w:line="360" w:lineRule="auto"/>
              <w:jc w:val="center"/>
              <w:rPr>
                <w:sz w:val="24"/>
                <w:szCs w:val="24"/>
              </w:rPr>
            </w:pPr>
            <w:r>
              <w:rPr>
                <w:rFonts w:hint="eastAsia"/>
                <w:sz w:val="24"/>
                <w:szCs w:val="24"/>
              </w:rPr>
              <w:t>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466" w:hRule="atLeast"/>
        </w:trPr>
        <w:tc>
          <w:tcPr>
            <w:tcW w:w="1559" w:type="dxa"/>
            <w:vMerge w:val="continue"/>
            <w:noWrap w:val="0"/>
            <w:vAlign w:val="center"/>
          </w:tcPr>
          <w:p>
            <w:pPr>
              <w:spacing w:line="360" w:lineRule="auto"/>
              <w:jc w:val="center"/>
              <w:rPr>
                <w:sz w:val="24"/>
                <w:szCs w:val="24"/>
              </w:rPr>
            </w:pPr>
          </w:p>
        </w:tc>
        <w:tc>
          <w:tcPr>
            <w:tcW w:w="1701" w:type="dxa"/>
            <w:noWrap w:val="0"/>
            <w:vAlign w:val="center"/>
          </w:tcPr>
          <w:p>
            <w:pPr>
              <w:spacing w:line="360" w:lineRule="auto"/>
              <w:jc w:val="center"/>
              <w:rPr>
                <w:sz w:val="24"/>
                <w:szCs w:val="24"/>
              </w:rPr>
            </w:pPr>
            <w:r>
              <w:rPr>
                <w:rFonts w:hint="eastAsia"/>
                <w:sz w:val="24"/>
                <w:szCs w:val="24"/>
              </w:rPr>
              <w:t>4b类</w:t>
            </w:r>
          </w:p>
        </w:tc>
        <w:tc>
          <w:tcPr>
            <w:tcW w:w="2126" w:type="dxa"/>
            <w:noWrap w:val="0"/>
            <w:vAlign w:val="center"/>
          </w:tcPr>
          <w:p>
            <w:pPr>
              <w:spacing w:line="360" w:lineRule="auto"/>
              <w:jc w:val="center"/>
              <w:rPr>
                <w:sz w:val="24"/>
                <w:szCs w:val="24"/>
              </w:rPr>
            </w:pPr>
            <w:r>
              <w:rPr>
                <w:rFonts w:hint="eastAsia"/>
                <w:sz w:val="24"/>
                <w:szCs w:val="24"/>
              </w:rPr>
              <w:t>70</w:t>
            </w:r>
          </w:p>
        </w:tc>
        <w:tc>
          <w:tcPr>
            <w:tcW w:w="1909" w:type="dxa"/>
            <w:noWrap w:val="0"/>
            <w:vAlign w:val="center"/>
          </w:tcPr>
          <w:p>
            <w:pPr>
              <w:spacing w:line="360" w:lineRule="auto"/>
              <w:jc w:val="center"/>
              <w:rPr>
                <w:sz w:val="24"/>
                <w:szCs w:val="24"/>
              </w:rPr>
            </w:pPr>
            <w:r>
              <w:rPr>
                <w:rFonts w:hint="eastAsia"/>
                <w:sz w:val="24"/>
                <w:szCs w:val="24"/>
              </w:rPr>
              <w:t>60</w:t>
            </w:r>
          </w:p>
        </w:tc>
      </w:tr>
    </w:tbl>
    <w:p>
      <w:pPr>
        <w:spacing w:line="360" w:lineRule="auto"/>
        <w:jc w:val="center"/>
        <w:rPr>
          <w:sz w:val="24"/>
          <w:szCs w:val="24"/>
        </w:rPr>
      </w:pPr>
    </w:p>
    <w:p>
      <w:pPr>
        <w:spacing w:line="360" w:lineRule="auto"/>
        <w:ind w:firstLine="480" w:firstLineChars="200"/>
        <w:jc w:val="left"/>
        <w:rPr>
          <w:sz w:val="24"/>
          <w:szCs w:val="24"/>
        </w:rPr>
      </w:pPr>
      <w:r>
        <w:rPr>
          <w:rFonts w:hint="eastAsia"/>
          <w:sz w:val="24"/>
          <w:szCs w:val="24"/>
        </w:rPr>
        <w:t>本条评价时，仅考虑室外环境噪声对人的影响，不考虑建筑所处的声环境功能分区，项目应尽可能地采取措施来实现环境噪声控制。本条既可以通过合理选址规划来实现，也可以通过设置植物防护等方式对室外场地的超标噪声进行降噪处理实现。有研究表明，lOm左右宽的乔木林可实现噪声5dB（A）的降低。</w:t>
      </w:r>
    </w:p>
    <w:p>
      <w:pPr>
        <w:spacing w:line="360" w:lineRule="auto"/>
        <w:ind w:firstLine="480" w:firstLineChars="200"/>
        <w:jc w:val="left"/>
        <w:rPr>
          <w:sz w:val="24"/>
          <w:szCs w:val="24"/>
        </w:rPr>
      </w:pPr>
      <w:r>
        <w:rPr>
          <w:rFonts w:hint="eastAsia"/>
          <w:sz w:val="24"/>
          <w:szCs w:val="24"/>
        </w:rPr>
        <w:t>本条的评价方法为：预评价查阅环评报告（含有噪声检测及预测评价或独立的环境噪声影响测试评估报告）、相关设计文件、声环境优化报告；评价查阅相关竣工图、声环境检测报告。</w:t>
      </w:r>
    </w:p>
    <w:p>
      <w:pPr>
        <w:spacing w:line="360" w:lineRule="auto"/>
        <w:jc w:val="left"/>
        <w:rPr>
          <w:sz w:val="24"/>
          <w:szCs w:val="24"/>
        </w:rPr>
      </w:pPr>
      <w:r>
        <w:rPr>
          <w:rFonts w:hint="eastAsia"/>
          <w:b/>
          <w:sz w:val="24"/>
          <w:szCs w:val="24"/>
        </w:rPr>
        <w:t xml:space="preserve">8.2.7 </w:t>
      </w:r>
      <w:r>
        <w:rPr>
          <w:rFonts w:hint="eastAsia"/>
          <w:sz w:val="24"/>
          <w:szCs w:val="24"/>
        </w:rPr>
        <w:t xml:space="preserve"> 本条适用于各类民用建筑的预评价、评价。非玻璃幕墙建筑，第1款可直接得分。</w:t>
      </w:r>
    </w:p>
    <w:p>
      <w:pPr>
        <w:spacing w:line="360" w:lineRule="auto"/>
        <w:ind w:firstLine="480" w:firstLineChars="200"/>
        <w:jc w:val="left"/>
        <w:rPr>
          <w:sz w:val="24"/>
          <w:szCs w:val="24"/>
        </w:rPr>
      </w:pPr>
      <w:r>
        <w:rPr>
          <w:rFonts w:hint="eastAsia"/>
          <w:sz w:val="24"/>
          <w:szCs w:val="24"/>
        </w:rPr>
        <w:t>本条在本标准2016年版第4.2.4条基础上发展而来。建筑物光污染包括建筑反射光（眩光）、夜间的室外夜景照明以及广告照明等造成的光污染。光污染产生的眩光会让人感到不舒服，还会使人降低对灯光信号等重要信息的辨识力，甚至带来道路安全隐患。</w:t>
      </w:r>
    </w:p>
    <w:p>
      <w:pPr>
        <w:spacing w:line="360" w:lineRule="auto"/>
        <w:ind w:firstLine="480" w:firstLineChars="200"/>
        <w:jc w:val="left"/>
        <w:rPr>
          <w:sz w:val="24"/>
          <w:szCs w:val="24"/>
        </w:rPr>
      </w:pPr>
      <w:r>
        <w:rPr>
          <w:rFonts w:hint="eastAsia"/>
          <w:sz w:val="24"/>
          <w:szCs w:val="24"/>
        </w:rPr>
        <w:t>光污染控制对策包括降低建筑物表面（玻璃和其他材料、涂料）的可见光反射比，合理选配照明器具，采取防止溢光措施等。现行国家标准《玻璃幕墙光热性能》GB/T18091将玻璃幕墙的光污染定义为有害光反射，对玻璃幕墙的可见光反射比作了规定。本条要求玻璃幕墙的可见光反射比及反射光对周边环境的影响符合《玻璃幕墙光热性能》GB/T18091的规定。</w:t>
      </w:r>
    </w:p>
    <w:p>
      <w:pPr>
        <w:spacing w:line="360" w:lineRule="auto"/>
        <w:ind w:firstLine="480" w:firstLineChars="200"/>
        <w:jc w:val="left"/>
        <w:rPr>
          <w:sz w:val="24"/>
          <w:szCs w:val="24"/>
        </w:rPr>
      </w:pPr>
      <w:r>
        <w:rPr>
          <w:rFonts w:hint="eastAsia"/>
          <w:sz w:val="24"/>
          <w:szCs w:val="24"/>
        </w:rPr>
        <w:t>室外夜景照明设计应满足现行国家标准《室外照明干扰光限制规范》GB/T35626和现行行业标准《城市夜景照明设计规范》JGJ/T163中关于光污染控制的相关要求，并在室外照明设计图纸中体现。</w:t>
      </w:r>
    </w:p>
    <w:p>
      <w:pPr>
        <w:spacing w:line="360" w:lineRule="auto"/>
        <w:ind w:firstLine="480" w:firstLineChars="200"/>
        <w:jc w:val="left"/>
        <w:rPr>
          <w:sz w:val="24"/>
          <w:szCs w:val="24"/>
        </w:rPr>
      </w:pPr>
      <w:r>
        <w:rPr>
          <w:rFonts w:hint="eastAsia"/>
          <w:sz w:val="24"/>
          <w:szCs w:val="24"/>
        </w:rPr>
        <w:t>本条的评价方法为：预评价查阅相关设计文件、光污染分析报告；评价查阅相关竣工图、光污染分析报告、检测报告。</w:t>
      </w:r>
    </w:p>
    <w:p>
      <w:pPr>
        <w:spacing w:line="360" w:lineRule="auto"/>
        <w:jc w:val="left"/>
        <w:rPr>
          <w:sz w:val="24"/>
          <w:szCs w:val="24"/>
        </w:rPr>
      </w:pPr>
      <w:r>
        <w:rPr>
          <w:rFonts w:hint="eastAsia"/>
          <w:b/>
          <w:sz w:val="24"/>
          <w:szCs w:val="24"/>
        </w:rPr>
        <w:t xml:space="preserve">8.2.8 </w:t>
      </w:r>
      <w:r>
        <w:rPr>
          <w:rFonts w:hint="eastAsia"/>
          <w:sz w:val="24"/>
          <w:szCs w:val="24"/>
        </w:rPr>
        <w:t xml:space="preserve"> 本条适用于各类民用建筑的预评价、评价。若只有一排建筑，本条第1款的第二项可直接得分。对于半下沉室外空间，此条也需要进行评价。</w:t>
      </w:r>
    </w:p>
    <w:p>
      <w:pPr>
        <w:spacing w:line="360" w:lineRule="auto"/>
        <w:ind w:firstLine="480" w:firstLineChars="200"/>
        <w:jc w:val="left"/>
        <w:rPr>
          <w:sz w:val="24"/>
          <w:szCs w:val="24"/>
        </w:rPr>
      </w:pPr>
      <w:r>
        <w:rPr>
          <w:rFonts w:hint="eastAsia"/>
          <w:sz w:val="24"/>
          <w:szCs w:val="24"/>
        </w:rPr>
        <w:t>本条在本标准2016年版第4.2.6条基础上发展而来。本条人行区是指区域范围内功能或主要功能可供行人通行和停留的场所。冬季建筑物周围人行区距地1.5m高处风速小于5m/s是不影响人们正常室外活动的基本要求。建筑的迎风面与背风面风压差不超过5Pa, 可以减少冷风向室内渗透。</w:t>
      </w:r>
    </w:p>
    <w:p>
      <w:pPr>
        <w:spacing w:line="360" w:lineRule="auto"/>
        <w:ind w:firstLine="480" w:firstLineChars="200"/>
        <w:jc w:val="left"/>
        <w:rPr>
          <w:sz w:val="24"/>
          <w:szCs w:val="24"/>
        </w:rPr>
      </w:pPr>
      <w:r>
        <w:rPr>
          <w:rFonts w:hint="eastAsia"/>
          <w:sz w:val="24"/>
          <w:szCs w:val="24"/>
        </w:rPr>
        <w:t>夏季、过渡季通风不畅在某些区域形成尤风区或涡旋区，将影响室外散热和污染物消散。外窗室内外表面的风压差达到0.5Pa有利于建筑的自然通风。</w:t>
      </w:r>
    </w:p>
    <w:p>
      <w:pPr>
        <w:spacing w:line="360" w:lineRule="auto"/>
        <w:ind w:firstLine="480" w:firstLineChars="200"/>
        <w:jc w:val="left"/>
        <w:rPr>
          <w:sz w:val="24"/>
          <w:szCs w:val="24"/>
        </w:rPr>
      </w:pPr>
      <w:r>
        <w:rPr>
          <w:rFonts w:hint="eastAsia"/>
          <w:sz w:val="24"/>
          <w:szCs w:val="24"/>
        </w:rPr>
        <w:t>利用计算流体动力学（CFD)手段对不同季节典型风向、风速可对建筑外风环境进行模拟，其中来流风速、风向为对应季节内出现频率最高的风向和平均风速，室外风环境模拟使用的气象参数建议依次按地方有关标准要求、现行行业标准《建筑节能气象参数标准》JGJ/T346、现行国家标准《民用建筑供暖通风与空气调节设计规范》GB 50736、《中国建筑热环境分析专用气象数据集》的优先顺序取得风向风速资料．数据选用尽可能使用地区内的气象站过去十年内的代表性数据．也可以采用相关气象部门出具逐时气象数据，计算“可开启外窗室内外表面的风压差”可将建筑外窗室内表面风压默认为O Pa。可开启外窗的室外风压绝对值大于0.5Pa,即可判定此外窗满足要求。</w:t>
      </w:r>
    </w:p>
    <w:p>
      <w:pPr>
        <w:spacing w:line="360" w:lineRule="auto"/>
        <w:ind w:firstLine="480" w:firstLineChars="200"/>
        <w:jc w:val="left"/>
        <w:rPr>
          <w:sz w:val="24"/>
          <w:szCs w:val="24"/>
        </w:rPr>
      </w:pPr>
      <w:r>
        <w:rPr>
          <w:rFonts w:hint="eastAsia"/>
          <w:sz w:val="24"/>
          <w:szCs w:val="24"/>
        </w:rPr>
        <w:t>室外风环境模拟应得到以下输出结果：</w:t>
      </w:r>
    </w:p>
    <w:p>
      <w:pPr>
        <w:spacing w:line="360" w:lineRule="auto"/>
        <w:ind w:firstLine="480" w:firstLineChars="200"/>
        <w:jc w:val="left"/>
        <w:rPr>
          <w:sz w:val="24"/>
          <w:szCs w:val="24"/>
        </w:rPr>
      </w:pPr>
      <w:r>
        <w:rPr>
          <w:rFonts w:hint="eastAsia"/>
          <w:sz w:val="24"/>
          <w:szCs w:val="24"/>
        </w:rPr>
        <w:t>1 不同季节不同来流风速下，模拟得到场地内1.5m高处的风速分布。</w:t>
      </w:r>
    </w:p>
    <w:p>
      <w:pPr>
        <w:spacing w:line="360" w:lineRule="auto"/>
        <w:ind w:firstLine="480" w:firstLineChars="200"/>
        <w:jc w:val="left"/>
        <w:rPr>
          <w:sz w:val="24"/>
          <w:szCs w:val="24"/>
        </w:rPr>
      </w:pPr>
      <w:r>
        <w:rPr>
          <w:rFonts w:hint="eastAsia"/>
          <w:sz w:val="24"/>
          <w:szCs w:val="24"/>
        </w:rPr>
        <w:t>2 不同季节不同来流风速下，模拟得到冬季室外活动区的风速放大系数。</w:t>
      </w:r>
    </w:p>
    <w:p>
      <w:pPr>
        <w:spacing w:line="360" w:lineRule="auto"/>
        <w:ind w:firstLine="480" w:firstLineChars="200"/>
        <w:jc w:val="left"/>
        <w:rPr>
          <w:sz w:val="24"/>
          <w:szCs w:val="24"/>
        </w:rPr>
      </w:pPr>
      <w:r>
        <w:rPr>
          <w:rFonts w:hint="eastAsia"/>
          <w:sz w:val="24"/>
          <w:szCs w:val="24"/>
        </w:rPr>
        <w:t>3 不同季节不同来流风速下，模拟得到建筑首层及以上典型楼层迎风面与背风面（或主要开窗面）表面的压力分布。</w:t>
      </w:r>
    </w:p>
    <w:p>
      <w:pPr>
        <w:spacing w:line="360" w:lineRule="auto"/>
        <w:ind w:firstLine="480" w:firstLineChars="200"/>
        <w:jc w:val="left"/>
        <w:rPr>
          <w:sz w:val="24"/>
          <w:szCs w:val="24"/>
        </w:rPr>
      </w:pPr>
      <w:r>
        <w:rPr>
          <w:rFonts w:hint="eastAsia"/>
          <w:sz w:val="24"/>
          <w:szCs w:val="24"/>
        </w:rPr>
        <w:t>对于不同季节，如果主导风向、风速不唯一（可参考《实用供热空调设计手册》陆耀庆．中国建筑工业出版社出版；或当地气象局历史数据），宜分析两种主导风向下的情况。</w:t>
      </w:r>
    </w:p>
    <w:p>
      <w:pPr>
        <w:spacing w:line="360" w:lineRule="auto"/>
        <w:ind w:firstLine="480" w:firstLineChars="200"/>
        <w:jc w:val="left"/>
        <w:rPr>
          <w:sz w:val="24"/>
          <w:szCs w:val="24"/>
        </w:rPr>
      </w:pPr>
      <w:r>
        <w:rPr>
          <w:rFonts w:hint="eastAsia"/>
          <w:sz w:val="24"/>
          <w:szCs w:val="24"/>
        </w:rPr>
        <w:t>本条的评价方法为：预评价查阅相关设计文件、风环境分析报告等；评价查阅相关竣工文件、风环境分析报告。</w:t>
      </w:r>
    </w:p>
    <w:p>
      <w:pPr>
        <w:spacing w:line="360" w:lineRule="auto"/>
        <w:jc w:val="left"/>
        <w:rPr>
          <w:sz w:val="24"/>
          <w:szCs w:val="24"/>
        </w:rPr>
      </w:pPr>
      <w:r>
        <w:rPr>
          <w:rFonts w:hint="eastAsia"/>
          <w:b/>
          <w:sz w:val="24"/>
          <w:szCs w:val="24"/>
        </w:rPr>
        <w:t xml:space="preserve">8.2.9  </w:t>
      </w:r>
      <w:r>
        <w:rPr>
          <w:rFonts w:hint="eastAsia"/>
          <w:sz w:val="24"/>
          <w:szCs w:val="24"/>
        </w:rPr>
        <w:t>本条适用于各类民用建筑的预评价、评价。</w:t>
      </w:r>
    </w:p>
    <w:p>
      <w:pPr>
        <w:spacing w:line="360" w:lineRule="auto"/>
        <w:ind w:firstLine="480" w:firstLineChars="200"/>
        <w:jc w:val="left"/>
        <w:rPr>
          <w:sz w:val="24"/>
          <w:szCs w:val="24"/>
        </w:rPr>
      </w:pPr>
      <w:r>
        <w:rPr>
          <w:rFonts w:hint="eastAsia"/>
          <w:sz w:val="24"/>
          <w:szCs w:val="24"/>
        </w:rPr>
        <w:t>本条在本标准2016年版第4.2.7条基础上发展而来。“热岛”现象在夏季出现，不仅会使人们高温中暑的概率变大，同时还容易形成光化学烟雾污染，并增加建筑的空调能耗，给人们的生活和工作带来负面影响。室外硬质地面采用遮阴措施可有效降低室外活动场地地表温度，减少热岛效应，提高场地热舒适度。</w:t>
      </w:r>
    </w:p>
    <w:p>
      <w:pPr>
        <w:spacing w:line="360" w:lineRule="auto"/>
        <w:ind w:firstLine="480" w:firstLineChars="200"/>
        <w:jc w:val="left"/>
        <w:rPr>
          <w:sz w:val="24"/>
          <w:szCs w:val="24"/>
        </w:rPr>
      </w:pPr>
      <w:r>
        <w:rPr>
          <w:rFonts w:hint="eastAsia"/>
          <w:sz w:val="24"/>
          <w:szCs w:val="24"/>
        </w:rPr>
        <w:t>第1 款中的室外活动场地包括：步道、庭院、广场、游憩场和非机动车停车场。不包括机动车道和机动车停车场，本款仅对建筑阴影区的户外活动场地提出要求，建筑阴影区为夏至日8：00～16：00时段在4h日照等时线内的区域。乔木遮阴面积按照成年乔木的树冠正投影面积计算；构筑物遮阴面积按照构筑物正投影面积计算。</w:t>
      </w:r>
    </w:p>
    <w:p>
      <w:pPr>
        <w:spacing w:line="360" w:lineRule="auto"/>
        <w:ind w:firstLine="480" w:firstLineChars="200"/>
        <w:jc w:val="left"/>
        <w:rPr>
          <w:sz w:val="24"/>
          <w:szCs w:val="24"/>
        </w:rPr>
      </w:pPr>
      <w:r>
        <w:rPr>
          <w:rFonts w:hint="eastAsia"/>
          <w:sz w:val="24"/>
          <w:szCs w:val="24"/>
        </w:rPr>
        <w:t>第3款中屋面可采用高反射率涂料等面层，本款计算绿化屋面面积、设有太阳能集热板或光电板的水平投影面积、反射率高的屋面面积之和。</w:t>
      </w:r>
    </w:p>
    <w:p>
      <w:pPr>
        <w:spacing w:line="360" w:lineRule="auto"/>
        <w:ind w:firstLine="480" w:firstLineChars="200"/>
        <w:jc w:val="left"/>
        <w:rPr>
          <w:sz w:val="24"/>
          <w:szCs w:val="24"/>
        </w:rPr>
      </w:pPr>
      <w:r>
        <w:rPr>
          <w:rFonts w:hint="eastAsia"/>
          <w:sz w:val="24"/>
          <w:szCs w:val="24"/>
        </w:rPr>
        <w:t>本条的评价方法为：预评价查阅相关设计文件、日照分析报告、计算书；评价查阅相关竣工图、日照分析报告、计算书、材料性能检测报告。</w:t>
      </w:r>
    </w:p>
    <w:p>
      <w:pPr>
        <w:spacing w:line="360" w:lineRule="auto"/>
        <w:rPr>
          <w:sz w:val="24"/>
          <w:szCs w:val="24"/>
        </w:rPr>
      </w:pPr>
      <w:r>
        <w:rPr>
          <w:rFonts w:hint="eastAsia"/>
          <w:b/>
          <w:sz w:val="24"/>
          <w:szCs w:val="24"/>
        </w:rPr>
        <w:t>8.2.10</w:t>
      </w:r>
      <w:r>
        <w:rPr>
          <w:rFonts w:hint="eastAsia"/>
          <w:sz w:val="24"/>
          <w:szCs w:val="24"/>
        </w:rPr>
        <w:t>本条适用于各类民用建筑的预评价、评价。</w:t>
      </w:r>
    </w:p>
    <w:p>
      <w:pPr>
        <w:spacing w:line="360" w:lineRule="auto"/>
        <w:ind w:firstLine="480" w:firstLineChars="200"/>
        <w:rPr>
          <w:sz w:val="24"/>
          <w:szCs w:val="24"/>
        </w:rPr>
      </w:pPr>
      <w:r>
        <w:rPr>
          <w:rFonts w:hint="eastAsia"/>
          <w:sz w:val="24"/>
          <w:szCs w:val="24"/>
        </w:rPr>
        <w:t>本条在本标准2016年版第4.2.12条基础上发展而来。广西气候温暖，夏季湿热漫长，但降雨丰富。建筑底层架空及沿街设置骑楼的设计有利于增加场地的空气流动性、改善室外通风环境，并且增加了室外活动场地的面积，有利于雨季人们进行室外活动。</w:t>
      </w:r>
      <w:r>
        <w:rPr>
          <w:rFonts w:hint="eastAsia"/>
          <w:sz w:val="24"/>
        </w:rPr>
        <w:t>底层架空面积为设置在建筑首层，仅有结构支撑而无外围护结构的开敞空间的面积。住区底层架空面积包括住宅楼底层架空、商业网点底层架空和商业网点骑楼面积。</w:t>
      </w:r>
    </w:p>
    <w:p>
      <w:pPr>
        <w:spacing w:line="360" w:lineRule="auto"/>
        <w:ind w:firstLine="480" w:firstLineChars="200"/>
        <w:rPr>
          <w:sz w:val="24"/>
          <w:szCs w:val="24"/>
        </w:rPr>
      </w:pPr>
      <w:r>
        <w:rPr>
          <w:rFonts w:hint="eastAsia"/>
          <w:sz w:val="24"/>
          <w:szCs w:val="24"/>
        </w:rPr>
        <w:t>本条的实施途径：</w:t>
      </w:r>
    </w:p>
    <w:p>
      <w:pPr>
        <w:spacing w:line="360" w:lineRule="auto"/>
        <w:ind w:firstLine="480" w:firstLineChars="200"/>
        <w:rPr>
          <w:sz w:val="24"/>
          <w:szCs w:val="24"/>
        </w:rPr>
      </w:pPr>
      <w:r>
        <w:rPr>
          <w:sz w:val="24"/>
          <w:szCs w:val="24"/>
        </w:rPr>
        <w:t>1</w:t>
      </w:r>
      <w:r>
        <w:rPr>
          <w:rFonts w:hint="eastAsia"/>
          <w:sz w:val="24"/>
          <w:szCs w:val="24"/>
        </w:rPr>
        <w:t>、结合场地通风、室外休闲场所、景观设计合理设置建筑底层架空层。合理设置架空层时应考虑：当建筑的排列采用周边式布置时，宜采用底层架空或单元之间留出气流通道的设计形式。</w:t>
      </w:r>
    </w:p>
    <w:p>
      <w:pPr>
        <w:spacing w:line="360" w:lineRule="auto"/>
        <w:ind w:firstLine="480" w:firstLineChars="200"/>
        <w:rPr>
          <w:sz w:val="24"/>
          <w:szCs w:val="24"/>
        </w:rPr>
      </w:pPr>
      <w:r>
        <w:rPr>
          <w:sz w:val="24"/>
          <w:szCs w:val="24"/>
        </w:rPr>
        <w:t>2</w:t>
      </w:r>
      <w:r>
        <w:rPr>
          <w:rFonts w:hint="eastAsia"/>
          <w:sz w:val="24"/>
          <w:szCs w:val="24"/>
        </w:rPr>
        <w:t>、沿街面合理设置骑楼形式。</w:t>
      </w:r>
      <w:r>
        <w:rPr>
          <w:sz w:val="24"/>
          <w:szCs w:val="24"/>
        </w:rPr>
        <w:tab/>
      </w:r>
    </w:p>
    <w:p>
      <w:pPr>
        <w:spacing w:line="360" w:lineRule="auto"/>
        <w:ind w:firstLine="480" w:firstLineChars="200"/>
        <w:rPr>
          <w:sz w:val="24"/>
          <w:szCs w:val="24"/>
        </w:rPr>
      </w:pPr>
      <w:r>
        <w:rPr>
          <w:rFonts w:hint="eastAsia"/>
          <w:sz w:val="24"/>
          <w:szCs w:val="24"/>
        </w:rPr>
        <w:t>本条的评价方法：预评价提交由设计单位提供的建筑设计施工图纸，图纸信息包括架空层及骑楼面积与建筑标准层的面积数据。评价时进行现场核查。</w:t>
      </w:r>
    </w:p>
    <w:p>
      <w:pPr>
        <w:spacing w:line="360" w:lineRule="auto"/>
        <w:jc w:val="center"/>
        <w:outlineLvl w:val="0"/>
        <w:rPr>
          <w:sz w:val="24"/>
          <w:szCs w:val="24"/>
        </w:rPr>
      </w:pPr>
      <w:r>
        <w:rPr>
          <w:sz w:val="24"/>
          <w:szCs w:val="24"/>
        </w:rPr>
        <w:br w:type="page"/>
      </w:r>
      <w:bookmarkStart w:id="140" w:name="_Toc24543022"/>
      <w:r>
        <w:rPr>
          <w:rFonts w:hint="eastAsia"/>
          <w:b/>
          <w:sz w:val="32"/>
          <w:szCs w:val="32"/>
        </w:rPr>
        <w:t>9  提 高 与 创 新</w:t>
      </w:r>
      <w:bookmarkEnd w:id="140"/>
    </w:p>
    <w:p>
      <w:pPr>
        <w:rPr>
          <w:rFonts w:hint="eastAsia"/>
        </w:rPr>
      </w:pPr>
      <w:bookmarkStart w:id="141" w:name="_Toc24543023"/>
    </w:p>
    <w:p>
      <w:pPr>
        <w:pStyle w:val="18"/>
        <w:spacing w:beforeLines="0" w:line="360" w:lineRule="auto"/>
        <w:ind w:firstLine="0" w:firstLineChars="0"/>
        <w:rPr>
          <w:rFonts w:hint="eastAsia"/>
        </w:rPr>
      </w:pPr>
      <w:r>
        <w:rPr>
          <w:rFonts w:hint="eastAsia"/>
        </w:rPr>
        <w:t>9.1  一般规定</w:t>
      </w:r>
      <w:bookmarkEnd w:id="141"/>
    </w:p>
    <w:p/>
    <w:p>
      <w:pPr>
        <w:spacing w:line="360" w:lineRule="auto"/>
        <w:jc w:val="left"/>
        <w:rPr>
          <w:sz w:val="24"/>
          <w:szCs w:val="24"/>
        </w:rPr>
      </w:pPr>
      <w:r>
        <w:rPr>
          <w:rFonts w:hint="eastAsia"/>
          <w:b/>
          <w:sz w:val="24"/>
          <w:szCs w:val="24"/>
        </w:rPr>
        <w:t>9.1.1</w:t>
      </w:r>
      <w:r>
        <w:rPr>
          <w:rFonts w:hint="eastAsia"/>
          <w:sz w:val="24"/>
          <w:szCs w:val="24"/>
        </w:rPr>
        <w:t xml:space="preserve">  绿色建筑全寿命期内各环节和阶段，都有可能在技术、产品选用和管理方式上进行性能提高和创新。为鼓励性能提高和创新，在各环节和阶段采用先进、适用、经济的技术、产品和管理方式，本次修订增设了相应的评价项目。比照“控制项”和“评分项”，本标准中将此类评价项目称为“加分项”。</w:t>
      </w:r>
    </w:p>
    <w:p>
      <w:pPr>
        <w:spacing w:line="360" w:lineRule="auto"/>
        <w:ind w:firstLine="480" w:firstLineChars="200"/>
        <w:jc w:val="left"/>
        <w:rPr>
          <w:sz w:val="24"/>
          <w:szCs w:val="24"/>
        </w:rPr>
      </w:pPr>
      <w:r>
        <w:rPr>
          <w:rFonts w:hint="eastAsia"/>
          <w:sz w:val="24"/>
          <w:szCs w:val="24"/>
        </w:rPr>
        <w:t>本次修订增设的加分项内容，有的在属性分类上属于性能提高，如进一步降低建筑综合能耗；有的在属性分类上属于创新，如传承地域建筑文化、建筑信息模型(BIM)、碳排放分析计算等，鼓励在技术、管理、生产方式等方面的创新。</w:t>
      </w:r>
    </w:p>
    <w:p>
      <w:pPr>
        <w:spacing w:line="360" w:lineRule="auto"/>
        <w:jc w:val="left"/>
        <w:rPr>
          <w:rFonts w:hint="eastAsia"/>
          <w:sz w:val="24"/>
          <w:szCs w:val="24"/>
        </w:rPr>
      </w:pPr>
      <w:r>
        <w:rPr>
          <w:rFonts w:hint="eastAsia"/>
          <w:b/>
          <w:sz w:val="24"/>
          <w:szCs w:val="24"/>
        </w:rPr>
        <w:t>9.1.2</w:t>
      </w:r>
      <w:r>
        <w:rPr>
          <w:rFonts w:hint="eastAsia"/>
          <w:sz w:val="24"/>
          <w:szCs w:val="24"/>
        </w:rPr>
        <w:t xml:space="preserve">  加分项的评定结果为某得分值或不得分。考虑到与绿色建筑总得分要求的平衡，以及加分项对建筑绿色性能的贡献，本标准对加分项附加得分作了不大于100 分的限制。某些加分项是对前面章节中评分项的提高，符合条件时，加分项和相应评分项均可得分。</w:t>
      </w:r>
    </w:p>
    <w:p>
      <w:pPr>
        <w:spacing w:line="360" w:lineRule="auto"/>
        <w:jc w:val="left"/>
        <w:rPr>
          <w:sz w:val="24"/>
          <w:szCs w:val="24"/>
        </w:rPr>
      </w:pPr>
    </w:p>
    <w:p>
      <w:pPr>
        <w:pStyle w:val="18"/>
        <w:spacing w:beforeLines="0" w:line="360" w:lineRule="auto"/>
        <w:ind w:firstLine="0" w:firstLineChars="0"/>
        <w:rPr>
          <w:rFonts w:hint="eastAsia"/>
        </w:rPr>
      </w:pPr>
      <w:bookmarkStart w:id="142" w:name="_Toc24543024"/>
      <w:r>
        <w:rPr>
          <w:rFonts w:hint="eastAsia"/>
        </w:rPr>
        <w:t>9.2  加 分 项</w:t>
      </w:r>
      <w:bookmarkEnd w:id="142"/>
    </w:p>
    <w:p/>
    <w:p>
      <w:pPr>
        <w:spacing w:line="360" w:lineRule="auto"/>
        <w:jc w:val="left"/>
        <w:rPr>
          <w:sz w:val="24"/>
          <w:szCs w:val="24"/>
        </w:rPr>
      </w:pPr>
      <w:r>
        <w:rPr>
          <w:rFonts w:hint="eastAsia"/>
          <w:b/>
          <w:sz w:val="24"/>
          <w:szCs w:val="24"/>
        </w:rPr>
        <w:t>9.2.1</w:t>
      </w:r>
      <w:r>
        <w:rPr>
          <w:rFonts w:hint="eastAsia"/>
          <w:sz w:val="24"/>
          <w:szCs w:val="24"/>
        </w:rPr>
        <w:t xml:space="preserve">  本条适用于各类民用建筑的预评价、评价。</w:t>
      </w:r>
    </w:p>
    <w:p>
      <w:pPr>
        <w:spacing w:line="360" w:lineRule="auto"/>
        <w:ind w:firstLine="480" w:firstLineChars="200"/>
        <w:jc w:val="left"/>
        <w:rPr>
          <w:sz w:val="24"/>
          <w:szCs w:val="24"/>
        </w:rPr>
      </w:pPr>
      <w:r>
        <w:rPr>
          <w:rFonts w:hint="eastAsia"/>
          <w:sz w:val="24"/>
          <w:szCs w:val="24"/>
        </w:rPr>
        <w:t>本条为新增条文。鼓励项目根据所在地的气候、资源特点，在本标准第7.2.4条和第7.2.8条的基础上，通过进一步提升建筑围护结构热工性能、提高供暖空调设备系统能效，以最少的供暖空调能源消耗提供舒适室内环境。本条可与本标准第7.2.4条、第7.2.8条同时得分。</w:t>
      </w:r>
    </w:p>
    <w:p>
      <w:pPr>
        <w:spacing w:line="360" w:lineRule="auto"/>
        <w:ind w:firstLine="480" w:firstLineChars="200"/>
        <w:jc w:val="left"/>
        <w:rPr>
          <w:sz w:val="24"/>
          <w:szCs w:val="24"/>
        </w:rPr>
      </w:pPr>
      <w:r>
        <w:rPr>
          <w:rFonts w:hint="eastAsia"/>
          <w:sz w:val="24"/>
          <w:szCs w:val="24"/>
        </w:rPr>
        <w:t>应根据行业标准《民用建筑绿色性能计算标准》JGJ/T449-2018第5.3节的相关规定，分别计算设计建筑及满足国家现行建筑节能设计标准规定的参照建筑的供暖空调能耗，计算其节能率并进行得分判定。建筑供暖空调系统能耗相比国家现行有关建筑节能标准降低40%,得10分；在此基础上，每再降低10%,再多得5分，本条最高得分不超过30分。</w:t>
      </w:r>
    </w:p>
    <w:p>
      <w:pPr>
        <w:spacing w:line="360" w:lineRule="auto"/>
        <w:ind w:firstLine="480" w:firstLineChars="200"/>
        <w:jc w:val="left"/>
        <w:rPr>
          <w:sz w:val="24"/>
          <w:szCs w:val="24"/>
        </w:rPr>
      </w:pPr>
      <w:r>
        <w:rPr>
          <w:rFonts w:hint="eastAsia"/>
          <w:sz w:val="24"/>
          <w:szCs w:val="24"/>
        </w:rPr>
        <w:t>本条文涉及的国家建筑节能设计标准，包括现行国家标准《公共建筑节能设计标准》GB50189和现行行业标准《严寒和寒冷地区居住建筑节能设计标准》JGJ26、《夏热冬冷地区居住建筑节能设计标准》JGJ134、《夏热冬暖地区居住建筑节能设计标准》JGJ75和《温和地区居住建筑节能设计标准》JGJ475和广西现行节能相关标准规范等。</w:t>
      </w:r>
    </w:p>
    <w:p>
      <w:pPr>
        <w:spacing w:line="360" w:lineRule="auto"/>
        <w:ind w:firstLine="480" w:firstLineChars="200"/>
        <w:jc w:val="left"/>
        <w:rPr>
          <w:sz w:val="24"/>
          <w:szCs w:val="24"/>
        </w:rPr>
      </w:pPr>
      <w:r>
        <w:rPr>
          <w:rFonts w:hint="eastAsia"/>
          <w:sz w:val="24"/>
          <w:szCs w:val="24"/>
        </w:rPr>
        <w:t>本条的评价方法为：预评价查阅相关设计文件（围护结构施工详图、相关设计说明）、节能计算书、建筑综合能耗节能率分析报告；评价查阅相关竣工图（围护结构施工详图、相关设计说明）、节能计算书、建筑综合能耗节能率分析报告。</w:t>
      </w:r>
    </w:p>
    <w:p>
      <w:pPr>
        <w:spacing w:line="360" w:lineRule="auto"/>
        <w:jc w:val="left"/>
        <w:rPr>
          <w:sz w:val="24"/>
          <w:szCs w:val="24"/>
        </w:rPr>
      </w:pPr>
      <w:r>
        <w:rPr>
          <w:rFonts w:hint="eastAsia"/>
          <w:b/>
          <w:sz w:val="24"/>
          <w:szCs w:val="24"/>
        </w:rPr>
        <w:t>9.2.2</w:t>
      </w:r>
      <w:r>
        <w:rPr>
          <w:rFonts w:hint="eastAsia"/>
          <w:sz w:val="24"/>
          <w:szCs w:val="24"/>
        </w:rPr>
        <w:t xml:space="preserve">  本条适用于各类民用建筑的预评价、评价。</w:t>
      </w:r>
    </w:p>
    <w:p>
      <w:pPr>
        <w:spacing w:line="360" w:lineRule="auto"/>
        <w:ind w:firstLine="480" w:firstLineChars="200"/>
        <w:jc w:val="left"/>
        <w:rPr>
          <w:sz w:val="24"/>
          <w:szCs w:val="24"/>
        </w:rPr>
      </w:pPr>
      <w:r>
        <w:rPr>
          <w:rFonts w:hint="eastAsia"/>
          <w:sz w:val="24"/>
          <w:szCs w:val="24"/>
        </w:rPr>
        <w:t>本条为新增条文。本条的评价强调对不同地域建筑的文化保护、传承与设计。</w:t>
      </w:r>
    </w:p>
    <w:p>
      <w:pPr>
        <w:spacing w:line="360" w:lineRule="auto"/>
        <w:ind w:firstLine="480" w:firstLineChars="200"/>
        <w:jc w:val="left"/>
        <w:rPr>
          <w:sz w:val="24"/>
          <w:szCs w:val="24"/>
        </w:rPr>
      </w:pPr>
      <w:r>
        <w:rPr>
          <w:rFonts w:hint="eastAsia"/>
          <w:sz w:val="24"/>
          <w:szCs w:val="24"/>
        </w:rPr>
        <w:t>建筑是一个地区传统文化同地域环境特色相结合的产物，是当地历史文脉及风俗传统的重要载体。采用具有地区特色的建筑设计原则和手法，为传承传统建筑风貌，让建筑能更好地体现地域传统建筑特色。</w:t>
      </w:r>
    </w:p>
    <w:p>
      <w:pPr>
        <w:spacing w:line="360" w:lineRule="auto"/>
        <w:ind w:firstLine="480" w:firstLineChars="200"/>
        <w:jc w:val="left"/>
        <w:rPr>
          <w:sz w:val="24"/>
          <w:szCs w:val="24"/>
        </w:rPr>
      </w:pPr>
      <w:r>
        <w:rPr>
          <w:rFonts w:hint="eastAsia"/>
          <w:sz w:val="24"/>
          <w:szCs w:val="24"/>
        </w:rPr>
        <w:t>对场地内的历史建筑进行保护和利用，也属于本条规定的传承地域建筑文化的范畴。历史建筑主要指能够反映历史风貌、地方特色、具有较高文化价值的传统建筑，未公布为文物保护单位或文物保护点的建筑物、构筑物。应采用适度的保护利用措施，避免对历史建筑价值和特征要素的损伤和改变。</w:t>
      </w:r>
    </w:p>
    <w:p>
      <w:pPr>
        <w:spacing w:line="360" w:lineRule="auto"/>
        <w:ind w:firstLine="480" w:firstLineChars="200"/>
        <w:jc w:val="left"/>
        <w:rPr>
          <w:sz w:val="24"/>
          <w:szCs w:val="24"/>
        </w:rPr>
      </w:pPr>
      <w:r>
        <w:rPr>
          <w:rFonts w:hint="eastAsia"/>
          <w:sz w:val="24"/>
          <w:szCs w:val="24"/>
        </w:rPr>
        <w:t>本条的评价方法为：预评价查阅相关设计文件；评价查阅相关竣工图。</w:t>
      </w:r>
    </w:p>
    <w:p>
      <w:pPr>
        <w:spacing w:line="360" w:lineRule="auto"/>
        <w:jc w:val="left"/>
        <w:rPr>
          <w:sz w:val="24"/>
          <w:szCs w:val="24"/>
        </w:rPr>
      </w:pPr>
      <w:r>
        <w:rPr>
          <w:rFonts w:hint="eastAsia"/>
          <w:b/>
          <w:sz w:val="24"/>
          <w:szCs w:val="24"/>
        </w:rPr>
        <w:t>9.2.3</w:t>
      </w:r>
      <w:r>
        <w:rPr>
          <w:rFonts w:hint="eastAsia"/>
          <w:sz w:val="24"/>
          <w:szCs w:val="24"/>
        </w:rPr>
        <w:t xml:space="preserve">  本条适用于各类民用建筑的预评价、评价。历史建筑本条不得分。</w:t>
      </w:r>
    </w:p>
    <w:p>
      <w:pPr>
        <w:spacing w:line="360" w:lineRule="auto"/>
        <w:ind w:firstLine="480" w:firstLineChars="200"/>
        <w:jc w:val="left"/>
        <w:rPr>
          <w:sz w:val="24"/>
          <w:szCs w:val="24"/>
        </w:rPr>
      </w:pPr>
      <w:r>
        <w:rPr>
          <w:rFonts w:hint="eastAsia"/>
          <w:sz w:val="24"/>
          <w:szCs w:val="24"/>
        </w:rPr>
        <w:t>本条沿用本标准2016年版第11.2.9条。我国城市可建设用地日趋紧缺，对废弃地进行改造并加以利用是节约集约利用土地的重要途径之一。利用废弃场地进行绿色建筑建设，在技术难度、建设成本方面都需要付出更多努力和代价。因此，对于优先选用废弃地的建设理念和行为进行鼓励。绿色建筑可优先考虑合理利用废弃场地，对土壤中是否含有有毒物质进行检测与再利用评估，采取土壤污染修复、污染水体净化和循环等生态补偿措施进行改造或改良，确保场地利用不存在安全隐患，符合国家有关标准的要求。</w:t>
      </w:r>
    </w:p>
    <w:p>
      <w:pPr>
        <w:spacing w:line="360" w:lineRule="auto"/>
        <w:ind w:firstLine="480" w:firstLineChars="200"/>
        <w:jc w:val="left"/>
        <w:rPr>
          <w:sz w:val="24"/>
          <w:szCs w:val="24"/>
        </w:rPr>
      </w:pPr>
      <w:r>
        <w:rPr>
          <w:rFonts w:hint="eastAsia"/>
          <w:sz w:val="24"/>
          <w:szCs w:val="24"/>
        </w:rPr>
        <w:t>本条所指的“尚可使用的旧建筑”系指建筑质量能保证使用安全的旧建筑，或通过少量改造加固后能保证使用安全的旧建筑。虽然目前多数项目为新建，且多为净地交付，项目方很难有权选择利用旧建筑。但仍需对利用“可使用的“旧建筑的行为予以鼓励，防止大拆大建。对于一些从技术经济分析角度不可行，但出于保护文物或体现风貌而留存的历史建筑，不在本条中得分。</w:t>
      </w:r>
    </w:p>
    <w:p>
      <w:pPr>
        <w:spacing w:line="360" w:lineRule="auto"/>
        <w:ind w:firstLine="480" w:firstLineChars="200"/>
        <w:jc w:val="left"/>
        <w:rPr>
          <w:sz w:val="24"/>
          <w:szCs w:val="24"/>
        </w:rPr>
      </w:pPr>
      <w:r>
        <w:rPr>
          <w:rFonts w:hint="eastAsia"/>
          <w:sz w:val="24"/>
          <w:szCs w:val="24"/>
        </w:rPr>
        <w:t>本条的评价方法为：预评价查阅相关设计文件、环评报告、旧建筑使用专项报告；评价查阅相关竣工图、环评报告、旧建筑使用专项报告、检测报告。</w:t>
      </w:r>
    </w:p>
    <w:p>
      <w:pPr>
        <w:spacing w:line="360" w:lineRule="auto"/>
        <w:jc w:val="left"/>
        <w:rPr>
          <w:sz w:val="24"/>
          <w:szCs w:val="24"/>
        </w:rPr>
      </w:pPr>
      <w:r>
        <w:rPr>
          <w:rFonts w:hint="eastAsia"/>
          <w:b/>
          <w:sz w:val="24"/>
          <w:szCs w:val="24"/>
        </w:rPr>
        <w:t>9.2.4</w:t>
      </w:r>
      <w:r>
        <w:rPr>
          <w:rFonts w:hint="eastAsia"/>
          <w:sz w:val="24"/>
          <w:szCs w:val="24"/>
        </w:rPr>
        <w:t xml:space="preserve">  本条适用于各类民用建筑的预评价、评价。</w:t>
      </w:r>
    </w:p>
    <w:p>
      <w:pPr>
        <w:spacing w:line="360" w:lineRule="auto"/>
        <w:ind w:firstLine="480" w:firstLineChars="200"/>
        <w:jc w:val="left"/>
        <w:rPr>
          <w:sz w:val="24"/>
          <w:szCs w:val="24"/>
        </w:rPr>
      </w:pPr>
      <w:r>
        <w:rPr>
          <w:rFonts w:hint="eastAsia"/>
          <w:sz w:val="24"/>
          <w:szCs w:val="24"/>
        </w:rPr>
        <w:t>本条为新增条文。绿容率是指场地内各类植被叶面积总量与场地面积的比值。叶面积是生态学中研究植物群落、结构和功能的关键性指标，它与植物生物量、固碳释氧、调节环境等功能关系密切，较高的绿容率往往代表较好的生态效益。目前常见的绿地率是十分重要的场地生态评价指标，但由于乔灌草生态效益的不同，绿地率这样的面积型指标无法全面表征场地绿地的空间生态水平，同样的绿地率在不同的景观配置方案下代表的生态效益差异可能较大，因此，绿容率可以作为绿地率的有效补充。</w:t>
      </w:r>
    </w:p>
    <w:p>
      <w:pPr>
        <w:spacing w:line="360" w:lineRule="auto"/>
        <w:ind w:firstLine="480" w:firstLineChars="200"/>
        <w:jc w:val="left"/>
        <w:rPr>
          <w:sz w:val="24"/>
          <w:szCs w:val="24"/>
        </w:rPr>
      </w:pPr>
      <w:r>
        <w:rPr>
          <w:rFonts w:hint="eastAsia"/>
          <w:sz w:val="24"/>
          <w:szCs w:val="24"/>
        </w:rPr>
        <w:t>为了合理提高绿容率，可优先保留场地原生树种和植被，合理配置叶面积指数较高的树种，提倡立体绿化，加强绿化养护，提高植被健康水平。绿化配置时避免影响低层用户的日照和采光。</w:t>
      </w:r>
    </w:p>
    <w:p>
      <w:pPr>
        <w:spacing w:line="360" w:lineRule="auto"/>
        <w:ind w:firstLine="480" w:firstLineChars="200"/>
        <w:jc w:val="left"/>
        <w:rPr>
          <w:sz w:val="24"/>
          <w:szCs w:val="24"/>
        </w:rPr>
      </w:pPr>
      <w:r>
        <w:rPr>
          <w:rFonts w:hint="eastAsia"/>
          <w:sz w:val="24"/>
          <w:szCs w:val="24"/>
        </w:rPr>
        <w:t>本条的绿容率可采用如下简化计算公式：绿容率==[∑(乔木叶面积指数×乔木投影面积×乔木株数）＋灌木占地面积×3＋草地占地面积×l]/场地面积。冠层稀疏类乔木叶面积指数按2取值，冠层密集类乔木叶面积指数按4取值，乔木投影面积按苗木表数据进行计算，场地内的立体绿化均可纳入计算。</w:t>
      </w:r>
    </w:p>
    <w:p>
      <w:pPr>
        <w:spacing w:line="360" w:lineRule="auto"/>
        <w:ind w:firstLine="480" w:firstLineChars="200"/>
        <w:jc w:val="left"/>
        <w:rPr>
          <w:sz w:val="24"/>
          <w:szCs w:val="24"/>
        </w:rPr>
      </w:pPr>
      <w:r>
        <w:rPr>
          <w:rFonts w:hint="eastAsia"/>
          <w:sz w:val="24"/>
          <w:szCs w:val="24"/>
        </w:rPr>
        <w:t>除以上简化计算方法外，鼓励有条件地区采用当地建设主管部门认可的常用植物叶面积调研数据进行绿容率计算；也可提供以实际测量数据为依据的绿容率测量报告，测量时间可为全年叶面积较多的季节。</w:t>
      </w:r>
    </w:p>
    <w:p>
      <w:pPr>
        <w:spacing w:line="360" w:lineRule="auto"/>
        <w:ind w:firstLine="480" w:firstLineChars="200"/>
        <w:jc w:val="left"/>
        <w:rPr>
          <w:sz w:val="24"/>
          <w:szCs w:val="24"/>
        </w:rPr>
      </w:pPr>
      <w:r>
        <w:rPr>
          <w:rFonts w:hint="eastAsia"/>
          <w:sz w:val="24"/>
          <w:szCs w:val="24"/>
        </w:rPr>
        <w:t>本条的评价方法为：预评价查阅相关设计文件（绿化种植平面图、苗木表等）、绿容率计算书；评价查阅相关竣工图、绿容率计算书或植被叶面积测量报告、相关证明材料。</w:t>
      </w:r>
    </w:p>
    <w:p>
      <w:pPr>
        <w:spacing w:line="360" w:lineRule="auto"/>
        <w:jc w:val="left"/>
        <w:rPr>
          <w:sz w:val="24"/>
          <w:szCs w:val="24"/>
        </w:rPr>
      </w:pPr>
      <w:r>
        <w:rPr>
          <w:rFonts w:hint="eastAsia"/>
          <w:b/>
          <w:sz w:val="24"/>
          <w:szCs w:val="24"/>
        </w:rPr>
        <w:t xml:space="preserve">9.2.5  </w:t>
      </w:r>
      <w:r>
        <w:rPr>
          <w:rFonts w:hint="eastAsia"/>
          <w:sz w:val="24"/>
          <w:szCs w:val="24"/>
        </w:rPr>
        <w:t>本条适用于各类民用建筑的预评价、评价。</w:t>
      </w:r>
    </w:p>
    <w:p>
      <w:pPr>
        <w:spacing w:line="360" w:lineRule="auto"/>
        <w:ind w:firstLine="480" w:firstLineChars="200"/>
        <w:jc w:val="left"/>
        <w:rPr>
          <w:sz w:val="24"/>
          <w:szCs w:val="24"/>
        </w:rPr>
      </w:pPr>
      <w:r>
        <w:rPr>
          <w:rFonts w:hint="eastAsia"/>
          <w:sz w:val="24"/>
          <w:szCs w:val="24"/>
        </w:rPr>
        <w:t>本条在本标准2016年版第7.2.5条基础上发展而来。钢结构、木结构及装配式混凝土结构符合减少人工、减少消耗、提高质量、提高效率的工业化建造要求。对于装配式混凝土结构的预制构件混凝土体积计算，无竖向立杆支撑叠合楼盖的现浇混凝土部分可按预制构件考虑，预制剪力墙的边缘构件现浇部分可按预制构件考虑，叠合剪力墙的现浇混凝土部分可按0.8倍折算为预制构件，模壳墙的现浇混凝土部分可按0.5倍折算为预制构件。</w:t>
      </w:r>
    </w:p>
    <w:p>
      <w:pPr>
        <w:spacing w:line="360" w:lineRule="auto"/>
        <w:ind w:firstLine="480" w:firstLineChars="200"/>
        <w:jc w:val="left"/>
        <w:rPr>
          <w:sz w:val="24"/>
          <w:szCs w:val="24"/>
        </w:rPr>
      </w:pPr>
      <w:r>
        <w:rPr>
          <w:rFonts w:hint="eastAsia"/>
          <w:sz w:val="24"/>
          <w:szCs w:val="24"/>
        </w:rPr>
        <w:t>本条的评价方法为：预评价查阅相关设计文件、计算书；评价查阅相关竣工图、计算书。</w:t>
      </w:r>
    </w:p>
    <w:p>
      <w:pPr>
        <w:spacing w:line="360" w:lineRule="auto"/>
        <w:jc w:val="left"/>
        <w:rPr>
          <w:sz w:val="24"/>
          <w:szCs w:val="24"/>
        </w:rPr>
      </w:pPr>
      <w:r>
        <w:rPr>
          <w:rFonts w:hint="eastAsia"/>
          <w:b/>
          <w:sz w:val="24"/>
          <w:szCs w:val="24"/>
        </w:rPr>
        <w:t>9.2.6</w:t>
      </w:r>
      <w:r>
        <w:rPr>
          <w:rFonts w:hint="eastAsia"/>
          <w:sz w:val="24"/>
          <w:szCs w:val="24"/>
        </w:rPr>
        <w:t xml:space="preserve">  本条适用于各类民用建筑的预评价、评价。</w:t>
      </w:r>
    </w:p>
    <w:p>
      <w:pPr>
        <w:spacing w:line="360" w:lineRule="auto"/>
        <w:ind w:firstLine="480" w:firstLineChars="200"/>
        <w:jc w:val="left"/>
        <w:rPr>
          <w:sz w:val="24"/>
          <w:szCs w:val="24"/>
        </w:rPr>
      </w:pPr>
      <w:r>
        <w:rPr>
          <w:rFonts w:hint="eastAsia"/>
          <w:sz w:val="24"/>
          <w:szCs w:val="24"/>
        </w:rPr>
        <w:t>本条在本标准2016年版第10.2.12条基础上发展而来。建筑信息模型(BIM)是建筑业信息化的重要支撑技术。BIM是在CAD技术基础上发展起来的多维模型信息集成技术。BIM是集成了建筑工程项目各种相关信息的工程数据模型，能使设计人员和工程人员能够对各种建筑信息做出正确的应对，实现数据共享并协同工作。</w:t>
      </w:r>
    </w:p>
    <w:p>
      <w:pPr>
        <w:spacing w:line="360" w:lineRule="auto"/>
        <w:ind w:firstLine="480" w:firstLineChars="200"/>
        <w:jc w:val="left"/>
        <w:rPr>
          <w:sz w:val="24"/>
          <w:szCs w:val="24"/>
        </w:rPr>
      </w:pPr>
      <w:r>
        <w:rPr>
          <w:rFonts w:hint="eastAsia"/>
          <w:sz w:val="24"/>
          <w:szCs w:val="24"/>
        </w:rPr>
        <w:t>BIM技术支持建筑工程全寿命期的信息管理和应用。在建筑工程建设的各阶段支持基于BIM 的数据交换和共享，可以极大地提升建筑工程信息化整体水平，工程建设各阶段、各专业之间的协作配合可以在更高层次上充分利用各自资源，有效地避免由于数据不通畅带来的重复性劳动，大大提高整个工程的质量和效率，并显著降低成本。因此，BIM中至少应包含规划、建筑、结构、给水排水、暖通、电气等6大专业相关信息。</w:t>
      </w:r>
    </w:p>
    <w:p>
      <w:pPr>
        <w:spacing w:line="360" w:lineRule="auto"/>
        <w:ind w:firstLine="480" w:firstLineChars="200"/>
        <w:jc w:val="left"/>
        <w:rPr>
          <w:sz w:val="24"/>
          <w:szCs w:val="24"/>
        </w:rPr>
      </w:pPr>
      <w:r>
        <w:rPr>
          <w:rFonts w:hint="eastAsia"/>
          <w:sz w:val="24"/>
          <w:szCs w:val="24"/>
        </w:rPr>
        <w:t>《住房城乡建设部关于印发推进建筑信息模型应用指导意见的通知》（建质函[2015]159号）中明确了建筑的设计、施工、运行维护等阶段应用BIM的工作重点内容。其中，规划设计阶段主要包括：①投资策划与规划；②设计模型建立；③分析与优化；④设计成果审核。施工阶段主要包括：①BIM施工模型建立；②细化设计；③专业协调；④成本管理与控制；⑤施工过程管理；⑥质量安全监控；⑦地下工程风险管控；⑧交付竣工模型。运营维护阶段主要包括：①运营维护模型建立；②运营维护管理；③设备设施运行监控；④应急管理。评价时，规划设计阶段和运营维护阶段BIM分别至少应涉及2项重点内容应用，施工阶段BIM至少应涉及3项重点内容应用，方可得分。</w:t>
      </w:r>
    </w:p>
    <w:p>
      <w:pPr>
        <w:spacing w:line="360" w:lineRule="auto"/>
        <w:ind w:firstLine="480" w:firstLineChars="200"/>
        <w:jc w:val="left"/>
        <w:rPr>
          <w:sz w:val="24"/>
          <w:szCs w:val="24"/>
        </w:rPr>
      </w:pPr>
      <w:r>
        <w:rPr>
          <w:rFonts w:hint="eastAsia"/>
          <w:sz w:val="24"/>
          <w:szCs w:val="24"/>
        </w:rPr>
        <w:t>一个项目不同阶段出现多个BIM模型，无法有效解决数据信息资源共享问题，因此当在两个及以上阶段应用BIM时，应基于同一BIM模型开展，否则不认为在两个阶段应用了BIM技术。</w:t>
      </w:r>
    </w:p>
    <w:p>
      <w:pPr>
        <w:spacing w:line="360" w:lineRule="auto"/>
        <w:ind w:firstLine="480" w:firstLineChars="200"/>
        <w:jc w:val="left"/>
        <w:rPr>
          <w:sz w:val="24"/>
          <w:szCs w:val="24"/>
        </w:rPr>
      </w:pPr>
      <w:r>
        <w:rPr>
          <w:rFonts w:hint="eastAsia"/>
          <w:sz w:val="24"/>
          <w:szCs w:val="24"/>
        </w:rPr>
        <w:t>本条的评价方法为：预评价查阅相关设计文件、BIM技术应用报告；评价查阅相关竣工图、BIM技术应用报告。</w:t>
      </w:r>
    </w:p>
    <w:p>
      <w:pPr>
        <w:spacing w:line="360" w:lineRule="auto"/>
        <w:jc w:val="left"/>
        <w:rPr>
          <w:sz w:val="24"/>
          <w:szCs w:val="24"/>
        </w:rPr>
      </w:pPr>
      <w:r>
        <w:rPr>
          <w:rFonts w:hint="eastAsia"/>
          <w:b/>
          <w:sz w:val="24"/>
          <w:szCs w:val="24"/>
        </w:rPr>
        <w:t>9.2.7</w:t>
      </w:r>
      <w:r>
        <w:rPr>
          <w:rFonts w:hint="eastAsia"/>
          <w:sz w:val="24"/>
          <w:szCs w:val="24"/>
        </w:rPr>
        <w:t xml:space="preserve">  本条适用于各类民用建筑的预评价、评价。</w:t>
      </w:r>
    </w:p>
    <w:p>
      <w:pPr>
        <w:spacing w:line="360" w:lineRule="auto"/>
        <w:ind w:firstLine="480" w:firstLineChars="200"/>
        <w:jc w:val="left"/>
        <w:rPr>
          <w:sz w:val="24"/>
          <w:szCs w:val="24"/>
        </w:rPr>
      </w:pPr>
      <w:r>
        <w:rPr>
          <w:rFonts w:hint="eastAsia"/>
          <w:sz w:val="24"/>
          <w:szCs w:val="24"/>
        </w:rPr>
        <w:t>本条沿用本标准2016 年版第11.2.13条。建筑碳排放计算及其碳足迹分析，不仅有助于帮助绿色建筑项目进一步达到和优化节能、节水、节材等资源节约目标，而且有助于进一步明确建筑对于我国温室气体减排的贡献量。经过多年的研究探索，我国也有了较为成熟的计算方法和一定量的案例实践。在计算分析基础上，再进一步采取相关节能减排措施降低碳排放，做到有的放矢。绿色建筑作为节约资源、保护环境的载体，理应将此作为一项技术措施同步开展。</w:t>
      </w:r>
    </w:p>
    <w:p>
      <w:pPr>
        <w:spacing w:line="360" w:lineRule="auto"/>
        <w:ind w:firstLine="480" w:firstLineChars="200"/>
        <w:jc w:val="left"/>
        <w:rPr>
          <w:sz w:val="24"/>
          <w:szCs w:val="24"/>
        </w:rPr>
      </w:pPr>
      <w:r>
        <w:rPr>
          <w:rFonts w:hint="eastAsia"/>
          <w:sz w:val="24"/>
          <w:szCs w:val="24"/>
        </w:rPr>
        <w:t>建筑碳排放计算分析包括建筑固有的碳排放量和标准运行工况下的碳排放量。预评价和投入使用前的评价，主要分析建筑的固有碳排放量；对于投入运行一年的建筑，主要分析在标准运行工况下建筑运行产生的碳排放量。</w:t>
      </w:r>
    </w:p>
    <w:p>
      <w:pPr>
        <w:spacing w:line="360" w:lineRule="auto"/>
        <w:ind w:firstLine="480" w:firstLineChars="200"/>
        <w:jc w:val="left"/>
        <w:rPr>
          <w:sz w:val="24"/>
          <w:szCs w:val="24"/>
        </w:rPr>
      </w:pPr>
      <w:r>
        <w:rPr>
          <w:rFonts w:hint="eastAsia"/>
          <w:sz w:val="24"/>
          <w:szCs w:val="24"/>
        </w:rPr>
        <w:t>本条的评价方法为：预评价查阅建筑固有碳排放量计算分析报告（含减排措施）；评价查阅建筑固有碳排放量计算分析报告（含减排措施），投入使用的项目尚应查阅标准运行工况下的碳排放量计算分析报告（含减排措施）。</w:t>
      </w:r>
    </w:p>
    <w:p>
      <w:pPr>
        <w:spacing w:line="360" w:lineRule="auto"/>
        <w:jc w:val="left"/>
        <w:rPr>
          <w:sz w:val="24"/>
          <w:szCs w:val="24"/>
        </w:rPr>
      </w:pPr>
      <w:r>
        <w:rPr>
          <w:rFonts w:hint="eastAsia"/>
          <w:b/>
          <w:sz w:val="24"/>
          <w:szCs w:val="24"/>
        </w:rPr>
        <w:t>9.2.8</w:t>
      </w:r>
      <w:r>
        <w:rPr>
          <w:rFonts w:hint="eastAsia"/>
          <w:sz w:val="24"/>
          <w:szCs w:val="24"/>
        </w:rPr>
        <w:t xml:space="preserve">  本条适用于各类民用建筑的评价。</w:t>
      </w:r>
    </w:p>
    <w:p>
      <w:pPr>
        <w:spacing w:line="360" w:lineRule="auto"/>
        <w:ind w:firstLine="480" w:firstLineChars="200"/>
        <w:jc w:val="left"/>
        <w:rPr>
          <w:sz w:val="24"/>
          <w:szCs w:val="24"/>
        </w:rPr>
      </w:pPr>
      <w:r>
        <w:rPr>
          <w:rFonts w:hint="eastAsia"/>
          <w:sz w:val="24"/>
          <w:szCs w:val="24"/>
        </w:rPr>
        <w:t>本条在本标准2016年版第9.2.6 条、第9.2.7 条基础上发展而来。</w:t>
      </w:r>
    </w:p>
    <w:p>
      <w:pPr>
        <w:spacing w:line="360" w:lineRule="auto"/>
        <w:ind w:firstLine="480" w:firstLineChars="200"/>
        <w:jc w:val="left"/>
        <w:rPr>
          <w:sz w:val="24"/>
          <w:szCs w:val="24"/>
        </w:rPr>
      </w:pPr>
      <w:r>
        <w:rPr>
          <w:rFonts w:hint="eastAsia"/>
          <w:sz w:val="24"/>
          <w:szCs w:val="24"/>
        </w:rPr>
        <w:t>第1 款，绿色施工是指在工程项目施工周期内严格进行过程管理，在保证质量、安全等基本要求的前提下，通过科学管理和技术进步，最大限度地节约资源（节材、节水、节能、节地）、保护环境和减少污染，实现环保、节约、可持续发展的施工工程。目前，我国国家标准层面发布实施了国家标准《建筑工程绿色施工规范》GB/T 50905 - 2014 、《建筑工程绿色施工评价标准》GB/T 50640 - 2010, 部分省市也发布实施了绿色施工相关的地方标准。现行国家标准《建筑工程绿色施工评价标准》GB/50640 规定绿色施工的等级，地方标准也设置了类似的绿色施工级别。本条将主管部门授予的“绿色施工优良等级”认定或“绿色施工示范工程”认定作为评分依据。</w:t>
      </w:r>
    </w:p>
    <w:p>
      <w:pPr>
        <w:spacing w:line="360" w:lineRule="auto"/>
        <w:ind w:firstLine="480" w:firstLineChars="200"/>
        <w:jc w:val="left"/>
        <w:rPr>
          <w:sz w:val="24"/>
          <w:szCs w:val="24"/>
        </w:rPr>
      </w:pPr>
      <w:r>
        <w:rPr>
          <w:rFonts w:hint="eastAsia"/>
          <w:sz w:val="24"/>
          <w:szCs w:val="24"/>
        </w:rPr>
        <w:t>第2 款，减少混凝土损耗、降低混凝土消耗量是施工中节材的重点内容之一，我国各地方的工程量预算定额，一般规定预拌混凝土的损耗率是1.5%, 但在很多工程施工中超过了1.5%,甚至达到了2%~3%, 因此有必要对预拌混凝土的损耗率提出要求。</w:t>
      </w:r>
    </w:p>
    <w:p>
      <w:pPr>
        <w:spacing w:line="360" w:lineRule="auto"/>
        <w:ind w:firstLine="480" w:firstLineChars="200"/>
        <w:jc w:val="left"/>
        <w:rPr>
          <w:sz w:val="24"/>
          <w:szCs w:val="24"/>
        </w:rPr>
      </w:pPr>
      <w:r>
        <w:rPr>
          <w:rFonts w:hint="eastAsia"/>
          <w:sz w:val="24"/>
          <w:szCs w:val="24"/>
        </w:rPr>
        <w:t>第3 款，钢筋是混凝土结构建筑的大宗消耗材料。钢筋浪费是建筑施工中普遍存在的问题，设计、施工不合理都会造成钢筋浪费。我国各地方的工程量预算定额，根据钢筋的规格不同，一般规定的损耗率为2.5%~4.5% 。根据对国内施工项目的初步调查，施工中实际钢筋浪费率约为6%。因此有必要对钢筋的损耗率提出要求。</w:t>
      </w:r>
    </w:p>
    <w:p>
      <w:pPr>
        <w:spacing w:line="360" w:lineRule="auto"/>
        <w:ind w:firstLine="480" w:firstLineChars="200"/>
        <w:jc w:val="left"/>
        <w:rPr>
          <w:sz w:val="24"/>
          <w:szCs w:val="24"/>
        </w:rPr>
      </w:pPr>
      <w:r>
        <w:rPr>
          <w:rFonts w:hint="eastAsia"/>
          <w:sz w:val="24"/>
          <w:szCs w:val="24"/>
        </w:rPr>
        <w:t>第4 款，现浇混凝土构件，施工时采用铝模体系，可确保构件表面的平整度，避免二次找平粉刷，从而节约材料，降低材料消耗。</w:t>
      </w:r>
    </w:p>
    <w:p>
      <w:pPr>
        <w:spacing w:line="360" w:lineRule="auto"/>
        <w:ind w:firstLine="480" w:firstLineChars="200"/>
        <w:jc w:val="left"/>
        <w:rPr>
          <w:sz w:val="24"/>
          <w:szCs w:val="24"/>
        </w:rPr>
      </w:pPr>
      <w:r>
        <w:rPr>
          <w:rFonts w:hint="eastAsia"/>
          <w:sz w:val="24"/>
          <w:szCs w:val="24"/>
        </w:rPr>
        <w:t>本条的评价方法为：评价查阅绿色施工实施方案、绿色施工等级或绿色施工示范工程的认定文件，混凝土用量结算清单、预拌混凝土进货单，施工单位统计计算的预拌混凝土损耗率，现场钢筋加工的钢筋工程量清单、钢筋用量结算清单，钢筋进货单，施工单位统计计算的现场加工钢筋损耗率、铝模材料设计方案及施工日志。</w:t>
      </w:r>
    </w:p>
    <w:p>
      <w:pPr>
        <w:spacing w:line="360" w:lineRule="auto"/>
        <w:jc w:val="left"/>
        <w:rPr>
          <w:sz w:val="24"/>
          <w:szCs w:val="24"/>
        </w:rPr>
      </w:pPr>
      <w:r>
        <w:rPr>
          <w:rFonts w:hint="eastAsia"/>
          <w:b/>
          <w:sz w:val="24"/>
          <w:szCs w:val="24"/>
        </w:rPr>
        <w:t xml:space="preserve">9.2.9  </w:t>
      </w:r>
      <w:r>
        <w:rPr>
          <w:rFonts w:hint="eastAsia"/>
          <w:sz w:val="24"/>
          <w:szCs w:val="24"/>
        </w:rPr>
        <w:t>本条适用于各类民用建筑的预评价、评价。</w:t>
      </w:r>
    </w:p>
    <w:p>
      <w:pPr>
        <w:spacing w:line="360" w:lineRule="auto"/>
        <w:ind w:firstLine="480" w:firstLineChars="200"/>
        <w:jc w:val="left"/>
        <w:rPr>
          <w:sz w:val="24"/>
          <w:szCs w:val="24"/>
        </w:rPr>
      </w:pPr>
      <w:r>
        <w:rPr>
          <w:rFonts w:hint="eastAsia"/>
          <w:sz w:val="24"/>
          <w:szCs w:val="24"/>
        </w:rPr>
        <w:t>本条为新增条文。建设工程保险在国际上已经是一种较为成熟的制度，比如法国的潜在缺陷保险CIDI) 制度、日本的住宅性能保证制度等。保险一般承保工程竣工验收之日起一定年限（如10 年）之内因主体结构或装修设备构件存在缺陷发生工程质量事故而给消费者造成的损失，通过保险产品公司约束开发商必须对建筑质量提供一定年限的长期保证，当建筑工程出现了保证书中列明的质量问题时，通过保险机制保证消费者的权益。通过推行建设工程质量保险制度，提高建设工程质量。</w:t>
      </w:r>
    </w:p>
    <w:p>
      <w:pPr>
        <w:spacing w:line="360" w:lineRule="auto"/>
        <w:ind w:firstLine="480" w:firstLineChars="200"/>
        <w:jc w:val="left"/>
        <w:rPr>
          <w:sz w:val="24"/>
          <w:szCs w:val="24"/>
        </w:rPr>
      </w:pPr>
      <w:r>
        <w:rPr>
          <w:rFonts w:hint="eastAsia"/>
          <w:sz w:val="24"/>
          <w:szCs w:val="24"/>
        </w:rPr>
        <w:t>本条的评价方法为：预评价查阅建设工程质量保险产品投保计划；评价查阅建设工程质量保险产品保单，核查其约定条件和实施情况。</w:t>
      </w:r>
    </w:p>
    <w:p>
      <w:pPr>
        <w:spacing w:line="360" w:lineRule="auto"/>
        <w:jc w:val="left"/>
        <w:rPr>
          <w:sz w:val="24"/>
          <w:szCs w:val="24"/>
        </w:rPr>
      </w:pPr>
      <w:r>
        <w:rPr>
          <w:rFonts w:hint="eastAsia"/>
          <w:b/>
          <w:sz w:val="24"/>
          <w:szCs w:val="24"/>
        </w:rPr>
        <w:t xml:space="preserve">9.2.10  </w:t>
      </w:r>
      <w:r>
        <w:rPr>
          <w:rFonts w:hint="eastAsia"/>
          <w:sz w:val="24"/>
          <w:szCs w:val="24"/>
        </w:rPr>
        <w:t>本条适用于各类民用建筑的预评价、评价。</w:t>
      </w:r>
    </w:p>
    <w:p>
      <w:pPr>
        <w:spacing w:line="360" w:lineRule="auto"/>
        <w:ind w:firstLine="480" w:firstLineChars="200"/>
        <w:jc w:val="left"/>
        <w:rPr>
          <w:sz w:val="24"/>
          <w:szCs w:val="24"/>
        </w:rPr>
      </w:pPr>
      <w:r>
        <w:rPr>
          <w:rFonts w:hint="eastAsia"/>
          <w:sz w:val="24"/>
          <w:szCs w:val="24"/>
        </w:rPr>
        <w:t>本条在本标准2016年版第11.2.14条基础上发展而来。本条主要是对前文未提及的其他技术和管理创新予以鼓励。目的是鼓励和引导项目采用不在本标准所列的绿色建筑评价指标范围内，但可在保护自然资源和生态环境、节约资源、减少环境污染、提高健康和宜居性、智能化系统建设、传承历史文化等方面实现良好性能提升的创新技术和措施，以此提高绿色建筑技术水平。</w:t>
      </w:r>
    </w:p>
    <w:p>
      <w:pPr>
        <w:spacing w:line="360" w:lineRule="auto"/>
        <w:ind w:firstLine="480" w:firstLineChars="200"/>
        <w:jc w:val="left"/>
        <w:rPr>
          <w:sz w:val="24"/>
          <w:szCs w:val="24"/>
        </w:rPr>
      </w:pPr>
      <w:r>
        <w:rPr>
          <w:rFonts w:hint="eastAsia"/>
          <w:sz w:val="24"/>
          <w:szCs w:val="24"/>
        </w:rPr>
        <w:t>当某项目采取了创新的技术措施，并提供了足够证据表明该技术措施可有效提高环境友好性，提高资源与能源利用效率，实现可持续发展或具有较大的社会效益时，可参与评审。项目的创新点应较大地超过相应指标的要求，或达到合理指标但具备显著降低成本或提高工效等优点。本条未列出所有的创新项内容，只要申请方能够提供足够相关证明，并通过专家组的评审即可认为满足要求。</w:t>
      </w:r>
    </w:p>
    <w:p>
      <w:pPr>
        <w:spacing w:line="360" w:lineRule="auto"/>
        <w:ind w:firstLine="480" w:firstLineChars="200"/>
        <w:jc w:val="left"/>
        <w:rPr>
          <w:rFonts w:hint="eastAsia"/>
          <w:sz w:val="24"/>
          <w:szCs w:val="24"/>
        </w:rPr>
      </w:pPr>
      <w:r>
        <w:rPr>
          <w:rFonts w:hint="eastAsia"/>
          <w:sz w:val="24"/>
          <w:szCs w:val="24"/>
        </w:rPr>
        <w:t>本条的评价方法为：预评价查阅相关设计文件、分析论证报告及相关证明材料；评价查阅相关设计文件、分析论证报告及相关证明材料。</w:t>
      </w:r>
    </w:p>
    <w:p>
      <w:pPr>
        <w:spacing w:line="360" w:lineRule="auto"/>
        <w:jc w:val="left"/>
        <w:rPr>
          <w:rFonts w:hint="eastAsia"/>
          <w:sz w:val="24"/>
          <w:szCs w:val="24"/>
        </w:rPr>
      </w:pPr>
      <w:r>
        <w:rPr>
          <w:rFonts w:hint="eastAsia"/>
          <w:b/>
          <w:sz w:val="24"/>
          <w:szCs w:val="24"/>
        </w:rPr>
        <w:t xml:space="preserve">9.2.11  </w:t>
      </w:r>
      <w:r>
        <w:rPr>
          <w:rFonts w:hint="eastAsia"/>
          <w:sz w:val="24"/>
          <w:szCs w:val="24"/>
        </w:rPr>
        <w:t>本条适用于各类民用建筑的预评价、评价。</w:t>
      </w:r>
    </w:p>
    <w:p>
      <w:pPr>
        <w:autoSpaceDE w:val="0"/>
        <w:autoSpaceDN w:val="0"/>
        <w:adjustRightInd w:val="0"/>
        <w:spacing w:line="400" w:lineRule="exact"/>
        <w:ind w:firstLine="480" w:firstLineChars="200"/>
        <w:jc w:val="left"/>
        <w:rPr>
          <w:rFonts w:hint="eastAsia"/>
          <w:sz w:val="24"/>
          <w:szCs w:val="24"/>
        </w:rPr>
      </w:pPr>
      <w:r>
        <w:rPr>
          <w:rFonts w:hint="eastAsia"/>
          <w:sz w:val="24"/>
          <w:szCs w:val="24"/>
        </w:rPr>
        <w:t>本条为新增条文。目的</w:t>
      </w:r>
      <w:r>
        <w:rPr>
          <w:sz w:val="24"/>
          <w:szCs w:val="24"/>
        </w:rPr>
        <w:t>是保证项目开发建设不导致开发对象周边交通服务水平下降的重要措施，是避免土地超强开发的规划控制措施。</w:t>
      </w:r>
      <w:r>
        <w:rPr>
          <w:rFonts w:hint="eastAsia"/>
          <w:sz w:val="24"/>
          <w:szCs w:val="24"/>
        </w:rPr>
        <w:t>同时促进土地利用与包括公共交通在内的交通系统的协调发展。</w:t>
      </w:r>
    </w:p>
    <w:p>
      <w:pPr>
        <w:autoSpaceDE w:val="0"/>
        <w:autoSpaceDN w:val="0"/>
        <w:adjustRightInd w:val="0"/>
        <w:spacing w:line="400" w:lineRule="exact"/>
        <w:ind w:firstLine="480" w:firstLineChars="200"/>
        <w:jc w:val="left"/>
        <w:rPr>
          <w:rFonts w:hint="eastAsia"/>
          <w:sz w:val="24"/>
          <w:szCs w:val="24"/>
        </w:rPr>
      </w:pPr>
      <w:r>
        <w:rPr>
          <w:rFonts w:hint="eastAsia"/>
          <w:sz w:val="24"/>
          <w:szCs w:val="24"/>
        </w:rPr>
        <w:t>本条的评价方法为：预评价查阅建设项目交通影响评价报告；评价查阅交通影响评价报告涉及的相关设计图纸及相关证明材料。</w:t>
      </w:r>
    </w:p>
    <w:p>
      <w:pPr>
        <w:spacing w:line="360" w:lineRule="auto"/>
        <w:jc w:val="left"/>
        <w:rPr>
          <w:rFonts w:hint="eastAsia"/>
          <w:sz w:val="24"/>
          <w:szCs w:val="24"/>
        </w:rPr>
      </w:pPr>
      <w:r>
        <w:rPr>
          <w:rFonts w:hint="eastAsia"/>
          <w:b/>
          <w:sz w:val="24"/>
          <w:szCs w:val="24"/>
        </w:rPr>
        <w:t xml:space="preserve">9.2.12  </w:t>
      </w:r>
      <w:r>
        <w:rPr>
          <w:rFonts w:hint="eastAsia"/>
          <w:sz w:val="24"/>
          <w:szCs w:val="24"/>
        </w:rPr>
        <w:t>本条适用于各类民用建筑的预评价、评价。</w:t>
      </w:r>
    </w:p>
    <w:p>
      <w:pPr>
        <w:autoSpaceDE w:val="0"/>
        <w:autoSpaceDN w:val="0"/>
        <w:adjustRightInd w:val="0"/>
        <w:spacing w:line="400" w:lineRule="exact"/>
        <w:ind w:firstLine="480" w:firstLineChars="200"/>
        <w:jc w:val="left"/>
        <w:rPr>
          <w:rFonts w:hint="eastAsia" w:ascii="宋体" w:hAnsi="宋体"/>
          <w:sz w:val="24"/>
        </w:rPr>
      </w:pPr>
      <w:r>
        <w:rPr>
          <w:rFonts w:hint="eastAsia"/>
          <w:sz w:val="24"/>
          <w:szCs w:val="24"/>
        </w:rPr>
        <w:t>本条为新增条文。目的是鼓励和引导项目创建智慧小区，结合广西智慧小区政策及智慧小区评价标准，对进行智慧小区建设的项目作加分。</w:t>
      </w:r>
      <w:r>
        <w:rPr>
          <w:rStyle w:val="32"/>
          <w:rFonts w:hint="eastAsia" w:ascii="宋体" w:hAnsi="宋体"/>
          <w:color w:val="auto"/>
          <w:sz w:val="24"/>
        </w:rPr>
        <w:t>智慧小区是指将物联网、移动通信、智能控制等新一代信息技术应用于住宅小区，通过信息的共享融合、各系统的优化配置和综合应用，实现先进的安全防范、信息服务、物业管理等方面的功能，为人们提供</w:t>
      </w:r>
      <w:r>
        <w:rPr>
          <w:rFonts w:hint="eastAsia" w:ascii="宋体" w:hAnsi="宋体"/>
          <w:sz w:val="24"/>
        </w:rPr>
        <w:t>安全、便捷、舒适、节能的居住环境的</w:t>
      </w:r>
      <w:r>
        <w:rPr>
          <w:rStyle w:val="32"/>
          <w:rFonts w:hint="eastAsia" w:ascii="宋体" w:hAnsi="宋体"/>
          <w:color w:val="auto"/>
          <w:sz w:val="24"/>
        </w:rPr>
        <w:t>住宅</w:t>
      </w:r>
      <w:r>
        <w:rPr>
          <w:rFonts w:hint="eastAsia" w:ascii="宋体" w:hAnsi="宋体"/>
          <w:sz w:val="24"/>
        </w:rPr>
        <w:t>小区。</w:t>
      </w:r>
    </w:p>
    <w:p>
      <w:pPr>
        <w:spacing w:line="360" w:lineRule="auto"/>
        <w:ind w:firstLine="480" w:firstLineChars="200"/>
        <w:jc w:val="left"/>
        <w:rPr>
          <w:sz w:val="24"/>
          <w:szCs w:val="24"/>
        </w:rPr>
      </w:pPr>
      <w:r>
        <w:rPr>
          <w:rFonts w:hint="eastAsia"/>
          <w:sz w:val="24"/>
          <w:szCs w:val="24"/>
        </w:rPr>
        <w:t>本条的评价方法为：预评价查阅相关智慧小区设计说明、设计图纸、</w:t>
      </w:r>
      <w:r>
        <w:rPr>
          <w:rFonts w:hint="eastAsia" w:ascii="宋体" w:hAnsi="宋体"/>
          <w:sz w:val="24"/>
        </w:rPr>
        <w:t>材料表清单和详细参数</w:t>
      </w:r>
      <w:r>
        <w:rPr>
          <w:rFonts w:hint="eastAsia"/>
          <w:sz w:val="24"/>
          <w:szCs w:val="24"/>
        </w:rPr>
        <w:t>等内容；评价查阅预评价涉及内容的</w:t>
      </w:r>
      <w:r>
        <w:rPr>
          <w:rFonts w:hint="eastAsia" w:ascii="宋体" w:hAnsi="宋体"/>
          <w:sz w:val="24"/>
        </w:rPr>
        <w:t>竣工图纸和文件、检测报告及证明其满足评价要求的其它材料，</w:t>
      </w:r>
      <w:r>
        <w:rPr>
          <w:rFonts w:hint="eastAsia"/>
          <w:sz w:val="24"/>
          <w:szCs w:val="24"/>
        </w:rPr>
        <w:t>投入使用的项目尚应查阅管理制度、运行记录等内容。</w:t>
      </w:r>
    </w:p>
    <w:p>
      <w:pPr>
        <w:spacing w:line="360" w:lineRule="auto"/>
        <w:jc w:val="left"/>
        <w:rPr>
          <w:rFonts w:hint="eastAsia"/>
          <w:color w:val="FF0000"/>
          <w:sz w:val="24"/>
          <w:szCs w:val="24"/>
          <w:highlight w:val="yellow"/>
        </w:rPr>
      </w:pPr>
    </w:p>
    <w:p>
      <w:pPr>
        <w:spacing w:line="360" w:lineRule="auto"/>
        <w:ind w:firstLine="480" w:firstLineChars="200"/>
        <w:jc w:val="left"/>
        <w:rPr>
          <w:rFonts w:hint="eastAsia"/>
          <w:sz w:val="24"/>
          <w:szCs w:val="24"/>
        </w:rPr>
      </w:pPr>
    </w:p>
    <w:sectPr>
      <w:pgSz w:w="11907" w:h="16839"/>
      <w:pgMar w:top="851" w:right="907" w:bottom="851" w:left="1418" w:header="851" w:footer="851"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Light">
    <w:altName w:val="Arial Unicode MS"/>
    <w:panose1 w:val="02010600030101010101"/>
    <w:charset w:val="86"/>
    <w:family w:val="auto"/>
    <w:pitch w:val="default"/>
    <w:sig w:usb0="00000000"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HiddenHorzOCR">
    <w:altName w:val="微软雅黑"/>
    <w:panose1 w:val="00000000000000000000"/>
    <w:charset w:val="00"/>
    <w:family w:val="auto"/>
    <w:pitch w:val="default"/>
    <w:sig w:usb0="00000000" w:usb1="00000000" w:usb2="00000000" w:usb3="00000000" w:csb0="00040001" w:csb1="00000000"/>
  </w:font>
  <w:font w:name="Times-Roman">
    <w:altName w:val="Times New Roman"/>
    <w:panose1 w:val="00000000000000000000"/>
    <w:charset w:val="00"/>
    <w:family w:val="auto"/>
    <w:pitch w:val="default"/>
    <w:sig w:usb0="00000000" w:usb1="00000000" w:usb2="00000000"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right"/>
    </w:pPr>
    <w:r>
      <w:fldChar w:fldCharType="begin"/>
    </w:r>
    <w:r>
      <w:instrText xml:space="preserve">PAGE   \* MERGEFORMAT</w:instrText>
    </w:r>
    <w:r>
      <w:fldChar w:fldCharType="separate"/>
    </w:r>
    <w:r>
      <w:rPr>
        <w:lang w:val="zh-CN"/>
      </w:rPr>
      <w:t>29</w:t>
    </w:r>
    <w:r>
      <w:fldChar w:fldCharType="end"/>
    </w:r>
  </w:p>
  <w:p>
    <w:pPr>
      <w:pStyle w:val="6"/>
      <w:rPr>
        <w:rFonts w:ascii="仿宋" w:hAnsi="仿宋" w:eastAsia="仿宋"/>
        <w:i/>
        <w:sz w:val="21"/>
        <w:szCs w:val="21"/>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sz w:val="20"/>
        <w:szCs w:val="20"/>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right"/>
    </w:pPr>
    <w:r>
      <w:fldChar w:fldCharType="begin"/>
    </w:r>
    <w:r>
      <w:instrText xml:space="preserve">PAGE   \* MERGEFORMAT</w:instrText>
    </w:r>
    <w:r>
      <w:fldChar w:fldCharType="separate"/>
    </w:r>
    <w:r>
      <w:rPr>
        <w:lang w:val="zh-CN"/>
      </w:rPr>
      <w:t>56</w:t>
    </w:r>
    <w:r>
      <w:fldChar w:fldCharType="end"/>
    </w:r>
  </w:p>
  <w:p>
    <w:pPr>
      <w:spacing w:line="14" w:lineRule="auto"/>
      <w:rPr>
        <w:sz w:val="20"/>
        <w:szCs w:val="20"/>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4382739"/>
    <w:multiLevelType w:val="multilevel"/>
    <w:tmpl w:val="54382739"/>
    <w:lvl w:ilvl="0" w:tentative="0">
      <w:start w:val="1"/>
      <w:numFmt w:val="decimal"/>
      <w:lvlText w:val="%1)"/>
      <w:lvlJc w:val="left"/>
      <w:pPr>
        <w:ind w:left="992" w:hanging="360"/>
      </w:pPr>
      <w:rPr>
        <w:rFonts w:hint="default"/>
        <w:b/>
        <w:color w:val="auto"/>
      </w:rPr>
    </w:lvl>
    <w:lvl w:ilvl="1" w:tentative="0">
      <w:start w:val="1"/>
      <w:numFmt w:val="lowerLetter"/>
      <w:lvlText w:val="%2)"/>
      <w:lvlJc w:val="left"/>
      <w:pPr>
        <w:ind w:left="1472" w:hanging="420"/>
      </w:pPr>
    </w:lvl>
    <w:lvl w:ilvl="2" w:tentative="0">
      <w:start w:val="1"/>
      <w:numFmt w:val="lowerRoman"/>
      <w:lvlText w:val="%3."/>
      <w:lvlJc w:val="right"/>
      <w:pPr>
        <w:ind w:left="1892" w:hanging="420"/>
      </w:pPr>
    </w:lvl>
    <w:lvl w:ilvl="3" w:tentative="0">
      <w:start w:val="1"/>
      <w:numFmt w:val="decimal"/>
      <w:lvlText w:val="%4."/>
      <w:lvlJc w:val="left"/>
      <w:pPr>
        <w:ind w:left="2312" w:hanging="420"/>
      </w:pPr>
    </w:lvl>
    <w:lvl w:ilvl="4" w:tentative="0">
      <w:start w:val="1"/>
      <w:numFmt w:val="lowerLetter"/>
      <w:lvlText w:val="%5)"/>
      <w:lvlJc w:val="left"/>
      <w:pPr>
        <w:ind w:left="2732" w:hanging="420"/>
      </w:pPr>
    </w:lvl>
    <w:lvl w:ilvl="5" w:tentative="0">
      <w:start w:val="1"/>
      <w:numFmt w:val="lowerRoman"/>
      <w:lvlText w:val="%6."/>
      <w:lvlJc w:val="right"/>
      <w:pPr>
        <w:ind w:left="3152" w:hanging="420"/>
      </w:pPr>
    </w:lvl>
    <w:lvl w:ilvl="6" w:tentative="0">
      <w:start w:val="1"/>
      <w:numFmt w:val="decimal"/>
      <w:lvlText w:val="%7."/>
      <w:lvlJc w:val="left"/>
      <w:pPr>
        <w:ind w:left="3572" w:hanging="420"/>
      </w:pPr>
    </w:lvl>
    <w:lvl w:ilvl="7" w:tentative="0">
      <w:start w:val="1"/>
      <w:numFmt w:val="lowerLetter"/>
      <w:lvlText w:val="%8)"/>
      <w:lvlJc w:val="left"/>
      <w:pPr>
        <w:ind w:left="3992" w:hanging="420"/>
      </w:pPr>
    </w:lvl>
    <w:lvl w:ilvl="8" w:tentative="0">
      <w:start w:val="1"/>
      <w:numFmt w:val="lowerRoman"/>
      <w:lvlText w:val="%9."/>
      <w:lvlJc w:val="right"/>
      <w:pPr>
        <w:ind w:left="4412"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val="0"/>
  <w:bordersDoNotSurroundFooter w:val="0"/>
  <w:documentProtection w:enforcement="0"/>
  <w:defaultTabStop w:val="420"/>
  <w:hyphenationZone w:val="36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4E0A"/>
    <w:rsid w:val="000015BB"/>
    <w:rsid w:val="00002E9B"/>
    <w:rsid w:val="0000705F"/>
    <w:rsid w:val="0000716F"/>
    <w:rsid w:val="00012ABF"/>
    <w:rsid w:val="00013076"/>
    <w:rsid w:val="00013C19"/>
    <w:rsid w:val="00016237"/>
    <w:rsid w:val="00021D12"/>
    <w:rsid w:val="00035925"/>
    <w:rsid w:val="00040B14"/>
    <w:rsid w:val="00041627"/>
    <w:rsid w:val="000451C0"/>
    <w:rsid w:val="00055161"/>
    <w:rsid w:val="0005516A"/>
    <w:rsid w:val="000A608F"/>
    <w:rsid w:val="000B2377"/>
    <w:rsid w:val="000B7006"/>
    <w:rsid w:val="000D32FF"/>
    <w:rsid w:val="000D5506"/>
    <w:rsid w:val="000E17AB"/>
    <w:rsid w:val="000E7178"/>
    <w:rsid w:val="00105090"/>
    <w:rsid w:val="001135AA"/>
    <w:rsid w:val="00114C74"/>
    <w:rsid w:val="001165FB"/>
    <w:rsid w:val="00125E08"/>
    <w:rsid w:val="001300D2"/>
    <w:rsid w:val="00134289"/>
    <w:rsid w:val="00165917"/>
    <w:rsid w:val="00190458"/>
    <w:rsid w:val="001977C4"/>
    <w:rsid w:val="001A1F88"/>
    <w:rsid w:val="001A3516"/>
    <w:rsid w:val="001B4981"/>
    <w:rsid w:val="001B4E93"/>
    <w:rsid w:val="001D0D6D"/>
    <w:rsid w:val="001E7416"/>
    <w:rsid w:val="001F186E"/>
    <w:rsid w:val="00200CCE"/>
    <w:rsid w:val="00207079"/>
    <w:rsid w:val="00210F27"/>
    <w:rsid w:val="002131E9"/>
    <w:rsid w:val="00232F2D"/>
    <w:rsid w:val="00233E40"/>
    <w:rsid w:val="002524B4"/>
    <w:rsid w:val="00253756"/>
    <w:rsid w:val="00281B1B"/>
    <w:rsid w:val="002A2C1E"/>
    <w:rsid w:val="002B28D3"/>
    <w:rsid w:val="002D0E8C"/>
    <w:rsid w:val="002E0A0A"/>
    <w:rsid w:val="002E491C"/>
    <w:rsid w:val="002F4409"/>
    <w:rsid w:val="002F53E1"/>
    <w:rsid w:val="0031678D"/>
    <w:rsid w:val="00335880"/>
    <w:rsid w:val="00336473"/>
    <w:rsid w:val="00336CBA"/>
    <w:rsid w:val="00344E9F"/>
    <w:rsid w:val="00366038"/>
    <w:rsid w:val="003662CE"/>
    <w:rsid w:val="00395FC4"/>
    <w:rsid w:val="003A125A"/>
    <w:rsid w:val="003A5834"/>
    <w:rsid w:val="003C74FE"/>
    <w:rsid w:val="003E44A6"/>
    <w:rsid w:val="003E70B6"/>
    <w:rsid w:val="004135AE"/>
    <w:rsid w:val="0041449B"/>
    <w:rsid w:val="00422793"/>
    <w:rsid w:val="00422D82"/>
    <w:rsid w:val="00442B91"/>
    <w:rsid w:val="00446749"/>
    <w:rsid w:val="00466548"/>
    <w:rsid w:val="00470E14"/>
    <w:rsid w:val="00472DE4"/>
    <w:rsid w:val="00477534"/>
    <w:rsid w:val="00481CD8"/>
    <w:rsid w:val="004A5E4C"/>
    <w:rsid w:val="004B7031"/>
    <w:rsid w:val="004C094D"/>
    <w:rsid w:val="004C3ED2"/>
    <w:rsid w:val="004D1A0F"/>
    <w:rsid w:val="004F7B0C"/>
    <w:rsid w:val="00503B6D"/>
    <w:rsid w:val="00503D3E"/>
    <w:rsid w:val="00510B43"/>
    <w:rsid w:val="00525481"/>
    <w:rsid w:val="00527398"/>
    <w:rsid w:val="005304F2"/>
    <w:rsid w:val="005319D9"/>
    <w:rsid w:val="005425BF"/>
    <w:rsid w:val="005509BD"/>
    <w:rsid w:val="005530B5"/>
    <w:rsid w:val="00553A3A"/>
    <w:rsid w:val="00570ED0"/>
    <w:rsid w:val="00582282"/>
    <w:rsid w:val="005A6383"/>
    <w:rsid w:val="005B0B7E"/>
    <w:rsid w:val="005B40C7"/>
    <w:rsid w:val="0060799C"/>
    <w:rsid w:val="00612AAC"/>
    <w:rsid w:val="00615456"/>
    <w:rsid w:val="006200E7"/>
    <w:rsid w:val="0062217C"/>
    <w:rsid w:val="00631C3F"/>
    <w:rsid w:val="00632A71"/>
    <w:rsid w:val="00663D93"/>
    <w:rsid w:val="00672CF1"/>
    <w:rsid w:val="00686813"/>
    <w:rsid w:val="00692623"/>
    <w:rsid w:val="006A5DA1"/>
    <w:rsid w:val="006A6A07"/>
    <w:rsid w:val="006A7351"/>
    <w:rsid w:val="006B1271"/>
    <w:rsid w:val="006B20C5"/>
    <w:rsid w:val="006B5A78"/>
    <w:rsid w:val="006E545D"/>
    <w:rsid w:val="00707CEA"/>
    <w:rsid w:val="00710412"/>
    <w:rsid w:val="0071053B"/>
    <w:rsid w:val="007257E7"/>
    <w:rsid w:val="007277D4"/>
    <w:rsid w:val="00734E4E"/>
    <w:rsid w:val="0073673E"/>
    <w:rsid w:val="00745001"/>
    <w:rsid w:val="007459FA"/>
    <w:rsid w:val="0075383C"/>
    <w:rsid w:val="00755D8B"/>
    <w:rsid w:val="00760796"/>
    <w:rsid w:val="0077358C"/>
    <w:rsid w:val="00783186"/>
    <w:rsid w:val="007836CC"/>
    <w:rsid w:val="00785308"/>
    <w:rsid w:val="007877F8"/>
    <w:rsid w:val="00787DF6"/>
    <w:rsid w:val="007965E5"/>
    <w:rsid w:val="007A0F2F"/>
    <w:rsid w:val="007B595E"/>
    <w:rsid w:val="007C0925"/>
    <w:rsid w:val="007E40FD"/>
    <w:rsid w:val="007E4D7C"/>
    <w:rsid w:val="007F7780"/>
    <w:rsid w:val="007F7FF2"/>
    <w:rsid w:val="00827BCF"/>
    <w:rsid w:val="00830C1C"/>
    <w:rsid w:val="00842D18"/>
    <w:rsid w:val="008435DA"/>
    <w:rsid w:val="0086115A"/>
    <w:rsid w:val="008665E1"/>
    <w:rsid w:val="008767E9"/>
    <w:rsid w:val="008801E5"/>
    <w:rsid w:val="008B326C"/>
    <w:rsid w:val="008D4B45"/>
    <w:rsid w:val="008D7285"/>
    <w:rsid w:val="00901BE7"/>
    <w:rsid w:val="009161AA"/>
    <w:rsid w:val="00927CB5"/>
    <w:rsid w:val="009341AB"/>
    <w:rsid w:val="00934AAD"/>
    <w:rsid w:val="00935C22"/>
    <w:rsid w:val="0094203F"/>
    <w:rsid w:val="00957D29"/>
    <w:rsid w:val="0096447B"/>
    <w:rsid w:val="00970A6A"/>
    <w:rsid w:val="00976AA4"/>
    <w:rsid w:val="00977ABF"/>
    <w:rsid w:val="00980862"/>
    <w:rsid w:val="00992DE1"/>
    <w:rsid w:val="00993D64"/>
    <w:rsid w:val="009A4562"/>
    <w:rsid w:val="009B28F2"/>
    <w:rsid w:val="009C076E"/>
    <w:rsid w:val="009C4994"/>
    <w:rsid w:val="009C4D2F"/>
    <w:rsid w:val="009C58A9"/>
    <w:rsid w:val="009C7790"/>
    <w:rsid w:val="009C78D5"/>
    <w:rsid w:val="009D2536"/>
    <w:rsid w:val="009F1205"/>
    <w:rsid w:val="00A0447D"/>
    <w:rsid w:val="00A05F25"/>
    <w:rsid w:val="00A17B6E"/>
    <w:rsid w:val="00A2298C"/>
    <w:rsid w:val="00A3208F"/>
    <w:rsid w:val="00A348B3"/>
    <w:rsid w:val="00A57DAA"/>
    <w:rsid w:val="00A62011"/>
    <w:rsid w:val="00A670A9"/>
    <w:rsid w:val="00A7678B"/>
    <w:rsid w:val="00A878D4"/>
    <w:rsid w:val="00A926D6"/>
    <w:rsid w:val="00AA4064"/>
    <w:rsid w:val="00AB001E"/>
    <w:rsid w:val="00AB3F72"/>
    <w:rsid w:val="00AB4C9B"/>
    <w:rsid w:val="00AC1DCF"/>
    <w:rsid w:val="00AC621C"/>
    <w:rsid w:val="00AD277C"/>
    <w:rsid w:val="00AE2FD6"/>
    <w:rsid w:val="00B03590"/>
    <w:rsid w:val="00B03914"/>
    <w:rsid w:val="00B25CB9"/>
    <w:rsid w:val="00B25EAD"/>
    <w:rsid w:val="00B34BC8"/>
    <w:rsid w:val="00B525BA"/>
    <w:rsid w:val="00B55D06"/>
    <w:rsid w:val="00B716BA"/>
    <w:rsid w:val="00B73DAD"/>
    <w:rsid w:val="00B77592"/>
    <w:rsid w:val="00B85452"/>
    <w:rsid w:val="00BC26EC"/>
    <w:rsid w:val="00BE1E7B"/>
    <w:rsid w:val="00BE7B56"/>
    <w:rsid w:val="00C01E8F"/>
    <w:rsid w:val="00C14BEC"/>
    <w:rsid w:val="00C16BA6"/>
    <w:rsid w:val="00C20127"/>
    <w:rsid w:val="00C36CDB"/>
    <w:rsid w:val="00C60E96"/>
    <w:rsid w:val="00C65362"/>
    <w:rsid w:val="00C72B30"/>
    <w:rsid w:val="00C7363C"/>
    <w:rsid w:val="00C95C69"/>
    <w:rsid w:val="00CA32A0"/>
    <w:rsid w:val="00CA3DE3"/>
    <w:rsid w:val="00CB419F"/>
    <w:rsid w:val="00CC5ABB"/>
    <w:rsid w:val="00CD2875"/>
    <w:rsid w:val="00CE1419"/>
    <w:rsid w:val="00CE278D"/>
    <w:rsid w:val="00CE2C83"/>
    <w:rsid w:val="00CE6808"/>
    <w:rsid w:val="00CF2B80"/>
    <w:rsid w:val="00CF473A"/>
    <w:rsid w:val="00D02DA8"/>
    <w:rsid w:val="00D04A9F"/>
    <w:rsid w:val="00D04AAB"/>
    <w:rsid w:val="00D06403"/>
    <w:rsid w:val="00D14C9F"/>
    <w:rsid w:val="00D31A27"/>
    <w:rsid w:val="00D35969"/>
    <w:rsid w:val="00D5002D"/>
    <w:rsid w:val="00D675CE"/>
    <w:rsid w:val="00D74852"/>
    <w:rsid w:val="00D8616D"/>
    <w:rsid w:val="00D970B4"/>
    <w:rsid w:val="00DB549A"/>
    <w:rsid w:val="00DC489D"/>
    <w:rsid w:val="00DE0A2D"/>
    <w:rsid w:val="00DF56CE"/>
    <w:rsid w:val="00E16D33"/>
    <w:rsid w:val="00E22166"/>
    <w:rsid w:val="00E237CB"/>
    <w:rsid w:val="00E2738F"/>
    <w:rsid w:val="00E44E4A"/>
    <w:rsid w:val="00E53A70"/>
    <w:rsid w:val="00E575E5"/>
    <w:rsid w:val="00E57C97"/>
    <w:rsid w:val="00E6511F"/>
    <w:rsid w:val="00E73259"/>
    <w:rsid w:val="00E878B2"/>
    <w:rsid w:val="00EA06F7"/>
    <w:rsid w:val="00EB01BF"/>
    <w:rsid w:val="00EB2FFF"/>
    <w:rsid w:val="00EC663A"/>
    <w:rsid w:val="00ED1E43"/>
    <w:rsid w:val="00EE41DD"/>
    <w:rsid w:val="00EE43CA"/>
    <w:rsid w:val="00F1146C"/>
    <w:rsid w:val="00F2336D"/>
    <w:rsid w:val="00F32C63"/>
    <w:rsid w:val="00F35E5F"/>
    <w:rsid w:val="00F51DF3"/>
    <w:rsid w:val="00F67EF1"/>
    <w:rsid w:val="00F86355"/>
    <w:rsid w:val="00F86676"/>
    <w:rsid w:val="00FA07D7"/>
    <w:rsid w:val="00FA36B7"/>
    <w:rsid w:val="00FA7945"/>
    <w:rsid w:val="00FB4E0A"/>
    <w:rsid w:val="00FE3155"/>
    <w:rsid w:val="00FE4912"/>
    <w:rsid w:val="00FE5D20"/>
    <w:rsid w:val="00FE65AE"/>
    <w:rsid w:val="01D74112"/>
    <w:rsid w:val="0240160D"/>
    <w:rsid w:val="02E00DE2"/>
    <w:rsid w:val="030B1FEE"/>
    <w:rsid w:val="06055D13"/>
    <w:rsid w:val="076D71CF"/>
    <w:rsid w:val="0AF243EF"/>
    <w:rsid w:val="0C300918"/>
    <w:rsid w:val="0D16179F"/>
    <w:rsid w:val="10656371"/>
    <w:rsid w:val="11726999"/>
    <w:rsid w:val="126513DC"/>
    <w:rsid w:val="18031435"/>
    <w:rsid w:val="18B10D2A"/>
    <w:rsid w:val="19122090"/>
    <w:rsid w:val="1AB04EBD"/>
    <w:rsid w:val="1EA47A8E"/>
    <w:rsid w:val="1EB95D92"/>
    <w:rsid w:val="20561629"/>
    <w:rsid w:val="262511D9"/>
    <w:rsid w:val="26405262"/>
    <w:rsid w:val="28C90294"/>
    <w:rsid w:val="2DC3384F"/>
    <w:rsid w:val="32C1713C"/>
    <w:rsid w:val="336345E0"/>
    <w:rsid w:val="36592FCB"/>
    <w:rsid w:val="368F076E"/>
    <w:rsid w:val="36EB7C9C"/>
    <w:rsid w:val="370436B8"/>
    <w:rsid w:val="3A5D6E48"/>
    <w:rsid w:val="3B57603A"/>
    <w:rsid w:val="3BB900F9"/>
    <w:rsid w:val="3BF9124C"/>
    <w:rsid w:val="3D234E81"/>
    <w:rsid w:val="43781ABB"/>
    <w:rsid w:val="44B612AA"/>
    <w:rsid w:val="46AB556E"/>
    <w:rsid w:val="46FD1B98"/>
    <w:rsid w:val="47BB10B8"/>
    <w:rsid w:val="4A204A8A"/>
    <w:rsid w:val="4C78201F"/>
    <w:rsid w:val="4CAE7385"/>
    <w:rsid w:val="4DB1066B"/>
    <w:rsid w:val="4F7279DA"/>
    <w:rsid w:val="53243B1B"/>
    <w:rsid w:val="53A21E77"/>
    <w:rsid w:val="54F24E5A"/>
    <w:rsid w:val="55493291"/>
    <w:rsid w:val="5CB41BD8"/>
    <w:rsid w:val="5CBE7B9E"/>
    <w:rsid w:val="5CD95D15"/>
    <w:rsid w:val="5E6A5ED1"/>
    <w:rsid w:val="63526A6B"/>
    <w:rsid w:val="63701522"/>
    <w:rsid w:val="6509318A"/>
    <w:rsid w:val="6A4C4A81"/>
    <w:rsid w:val="6BCA75D8"/>
    <w:rsid w:val="6BDC40C2"/>
    <w:rsid w:val="6DC46FA8"/>
    <w:rsid w:val="6F3A5F15"/>
    <w:rsid w:val="7329206C"/>
    <w:rsid w:val="73BE07CC"/>
    <w:rsid w:val="74267D2C"/>
    <w:rsid w:val="75146931"/>
    <w:rsid w:val="75A14B43"/>
    <w:rsid w:val="7D89788D"/>
    <w:rsid w:val="7EA765CA"/>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semiHidden="0" w:name="toc 1"/>
    <w:lsdException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semiHidden="0" w:name="FollowedHyperlink"/>
    <w:lsdException w:qFormat="1" w:unhideWhenUsed="0" w:uiPriority="0" w:semiHidden="0" w:name="Strong"/>
    <w:lsdException w:qFormat="1" w:unhideWhenUsed="0" w:uiPriority="20" w:semiHidden="0" w:name="Emphasis"/>
    <w:lsdException w:uiPriority="99" w:semiHidden="0" w:name="Document Map"/>
    <w:lsdException w:uiPriority="99" w:name="Plain Text"/>
    <w:lsdException w:uiPriority="99" w:name="E-mail Signature"/>
    <w:lsdException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2"/>
      <w:lang w:val="en-US" w:eastAsia="zh-CN" w:bidi="ar-SA"/>
    </w:rPr>
  </w:style>
  <w:style w:type="paragraph" w:styleId="2">
    <w:name w:val="heading 1"/>
    <w:basedOn w:val="1"/>
    <w:next w:val="1"/>
    <w:link w:val="29"/>
    <w:qFormat/>
    <w:uiPriority w:val="0"/>
    <w:pPr>
      <w:keepNext/>
      <w:keepLines/>
      <w:spacing w:before="340" w:after="330" w:line="578" w:lineRule="auto"/>
      <w:outlineLvl w:val="0"/>
    </w:pPr>
    <w:rPr>
      <w:b/>
      <w:bCs/>
      <w:kern w:val="44"/>
      <w:sz w:val="44"/>
      <w:szCs w:val="44"/>
    </w:rPr>
  </w:style>
  <w:style w:type="character" w:default="1" w:styleId="13">
    <w:name w:val="Default Paragraph Font"/>
    <w:unhideWhenUsed/>
    <w:uiPriority w:val="1"/>
  </w:style>
  <w:style w:type="table" w:default="1" w:styleId="11">
    <w:name w:val="Normal Table"/>
    <w:unhideWhenUsed/>
    <w:qFormat/>
    <w:uiPriority w:val="99"/>
    <w:tblPr>
      <w:tblStyle w:val="11"/>
      <w:tblCellMar>
        <w:top w:w="0" w:type="dxa"/>
        <w:left w:w="108" w:type="dxa"/>
        <w:bottom w:w="0" w:type="dxa"/>
        <w:right w:w="108" w:type="dxa"/>
      </w:tblCellMar>
    </w:tblPr>
  </w:style>
  <w:style w:type="paragraph" w:styleId="3">
    <w:name w:val="Document Map"/>
    <w:basedOn w:val="1"/>
    <w:link w:val="31"/>
    <w:unhideWhenUsed/>
    <w:uiPriority w:val="99"/>
    <w:rPr>
      <w:rFonts w:ascii="宋体"/>
      <w:sz w:val="18"/>
      <w:szCs w:val="18"/>
    </w:rPr>
  </w:style>
  <w:style w:type="paragraph" w:styleId="4">
    <w:name w:val="Body Text"/>
    <w:basedOn w:val="1"/>
    <w:link w:val="30"/>
    <w:qFormat/>
    <w:uiPriority w:val="1"/>
    <w:rPr>
      <w:rFonts w:ascii="宋体" w:hAnsi="宋体"/>
      <w:sz w:val="30"/>
      <w:szCs w:val="30"/>
    </w:rPr>
  </w:style>
  <w:style w:type="paragraph" w:styleId="5">
    <w:name w:val="Balloon Text"/>
    <w:basedOn w:val="1"/>
    <w:link w:val="34"/>
    <w:unhideWhenUsed/>
    <w:uiPriority w:val="99"/>
    <w:rPr>
      <w:sz w:val="18"/>
      <w:szCs w:val="18"/>
    </w:rPr>
  </w:style>
  <w:style w:type="paragraph" w:styleId="6">
    <w:name w:val="footer"/>
    <w:basedOn w:val="1"/>
    <w:link w:val="33"/>
    <w:unhideWhenUsed/>
    <w:uiPriority w:val="99"/>
    <w:pPr>
      <w:tabs>
        <w:tab w:val="center" w:pos="4153"/>
        <w:tab w:val="right" w:pos="8306"/>
      </w:tabs>
      <w:snapToGrid w:val="0"/>
      <w:jc w:val="left"/>
    </w:pPr>
    <w:rPr>
      <w:sz w:val="18"/>
      <w:szCs w:val="18"/>
    </w:rPr>
  </w:style>
  <w:style w:type="paragraph" w:styleId="7">
    <w:name w:val="header"/>
    <w:basedOn w:val="1"/>
    <w:link w:val="35"/>
    <w:unhideWhenUsed/>
    <w:uiPriority w:val="99"/>
    <w:pPr>
      <w:pBdr>
        <w:bottom w:val="single" w:color="auto" w:sz="6" w:space="1"/>
      </w:pBdr>
      <w:tabs>
        <w:tab w:val="center" w:pos="4153"/>
        <w:tab w:val="right" w:pos="8306"/>
      </w:tabs>
      <w:snapToGrid w:val="0"/>
      <w:jc w:val="center"/>
    </w:pPr>
    <w:rPr>
      <w:sz w:val="18"/>
      <w:szCs w:val="18"/>
    </w:rPr>
  </w:style>
  <w:style w:type="paragraph" w:styleId="8">
    <w:name w:val="toc 1"/>
    <w:basedOn w:val="1"/>
    <w:next w:val="1"/>
    <w:unhideWhenUsed/>
    <w:uiPriority w:val="39"/>
    <w:pPr>
      <w:tabs>
        <w:tab w:val="right" w:leader="dot" w:pos="9572"/>
      </w:tabs>
      <w:spacing w:line="360" w:lineRule="auto"/>
      <w:jc w:val="center"/>
    </w:pPr>
    <w:rPr>
      <w:rFonts w:ascii="Times New Roman" w:hAnsi="Times New Roman"/>
      <w:sz w:val="32"/>
      <w:szCs w:val="32"/>
    </w:rPr>
  </w:style>
  <w:style w:type="paragraph" w:styleId="9">
    <w:name w:val="toc 2"/>
    <w:basedOn w:val="1"/>
    <w:next w:val="1"/>
    <w:unhideWhenUsed/>
    <w:uiPriority w:val="39"/>
    <w:pPr>
      <w:ind w:left="420" w:leftChars="200"/>
    </w:pPr>
  </w:style>
  <w:style w:type="paragraph" w:styleId="10">
    <w:name w:val="Normal (Web)"/>
    <w:basedOn w:val="1"/>
    <w:uiPriority w:val="0"/>
    <w:pPr>
      <w:widowControl/>
      <w:spacing w:before="100" w:beforeAutospacing="1" w:after="100" w:afterAutospacing="1"/>
      <w:jc w:val="left"/>
    </w:pPr>
    <w:rPr>
      <w:rFonts w:ascii="宋体" w:hAnsi="宋体" w:cs="宋体"/>
      <w:kern w:val="0"/>
      <w:sz w:val="24"/>
      <w:szCs w:val="24"/>
    </w:rPr>
  </w:style>
  <w:style w:type="table" w:styleId="12">
    <w:name w:val="Table Grid"/>
    <w:basedOn w:val="11"/>
    <w:uiPriority w:val="59"/>
    <w:tblPr>
      <w:tblStyle w:val="11"/>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Strong"/>
    <w:qFormat/>
    <w:uiPriority w:val="0"/>
    <w:rPr>
      <w:b/>
    </w:rPr>
  </w:style>
  <w:style w:type="character" w:styleId="15">
    <w:name w:val="FollowedHyperlink"/>
    <w:unhideWhenUsed/>
    <w:uiPriority w:val="99"/>
    <w:rPr>
      <w:color w:val="800080"/>
      <w:u w:val="single"/>
    </w:rPr>
  </w:style>
  <w:style w:type="character" w:styleId="16">
    <w:name w:val="Hyperlink"/>
    <w:unhideWhenUsed/>
    <w:uiPriority w:val="99"/>
    <w:rPr>
      <w:color w:val="0000FF"/>
      <w:u w:val="single"/>
    </w:rPr>
  </w:style>
  <w:style w:type="paragraph" w:customStyle="1" w:styleId="17">
    <w:name w:val="说明扩展"/>
    <w:next w:val="1"/>
    <w:link w:val="37"/>
    <w:qFormat/>
    <w:uiPriority w:val="0"/>
    <w:pPr>
      <w:spacing w:line="360" w:lineRule="auto"/>
      <w:ind w:firstLine="200" w:firstLineChars="200"/>
    </w:pPr>
    <w:rPr>
      <w:rFonts w:ascii="宋体" w:hAnsi="宋体"/>
      <w:kern w:val="2"/>
      <w:sz w:val="24"/>
      <w:szCs w:val="22"/>
      <w:lang w:val="en-US" w:eastAsia="zh-CN" w:bidi="ar-SA"/>
    </w:rPr>
  </w:style>
  <w:style w:type="paragraph" w:customStyle="1" w:styleId="18">
    <w:name w:val="节"/>
    <w:basedOn w:val="1"/>
    <w:uiPriority w:val="0"/>
    <w:pPr>
      <w:adjustRightInd w:val="0"/>
      <w:spacing w:beforeLines="100" w:line="300" w:lineRule="auto"/>
      <w:ind w:firstLine="200" w:firstLineChars="200"/>
      <w:jc w:val="center"/>
      <w:outlineLvl w:val="1"/>
    </w:pPr>
    <w:rPr>
      <w:rFonts w:ascii="Times New Roman" w:hAnsi="Times New Roman"/>
      <w:b/>
      <w:bCs/>
      <w:sz w:val="24"/>
      <w:szCs w:val="24"/>
    </w:rPr>
  </w:style>
  <w:style w:type="paragraph" w:customStyle="1" w:styleId="19">
    <w:name w:val="Table Paragraph"/>
    <w:basedOn w:val="1"/>
    <w:qFormat/>
    <w:uiPriority w:val="1"/>
    <w:rPr>
      <w:rFonts w:cs="Calibri"/>
      <w:szCs w:val="21"/>
    </w:rPr>
  </w:style>
  <w:style w:type="paragraph" w:customStyle="1" w:styleId="20">
    <w:name w:val="TOC Heading"/>
    <w:basedOn w:val="2"/>
    <w:next w:val="1"/>
    <w:uiPriority w:val="0"/>
    <w:pPr>
      <w:widowControl/>
      <w:spacing w:before="240" w:after="0" w:line="259" w:lineRule="auto"/>
      <w:jc w:val="left"/>
      <w:outlineLvl w:val="9"/>
    </w:pPr>
    <w:rPr>
      <w:rFonts w:ascii="等线 Light" w:hAnsi="等线 Light" w:eastAsia="等线 Light"/>
      <w:b w:val="0"/>
      <w:bCs w:val="0"/>
      <w:color w:val="2E74B5"/>
      <w:kern w:val="0"/>
      <w:sz w:val="32"/>
      <w:szCs w:val="32"/>
    </w:rPr>
  </w:style>
  <w:style w:type="paragraph" w:customStyle="1" w:styleId="21">
    <w:name w:val="正文-表格"/>
    <w:next w:val="1"/>
    <w:qFormat/>
    <w:uiPriority w:val="0"/>
    <w:pPr>
      <w:spacing w:line="300" w:lineRule="auto"/>
      <w:jc w:val="center"/>
    </w:pPr>
    <w:rPr>
      <w:rFonts w:ascii="宋体" w:hAnsi="宋体"/>
      <w:kern w:val="2"/>
      <w:sz w:val="24"/>
      <w:szCs w:val="22"/>
      <w:lang w:val="en-US" w:eastAsia="zh-CN" w:bidi="ar-SA"/>
    </w:rPr>
  </w:style>
  <w:style w:type="paragraph" w:customStyle="1" w:styleId="22">
    <w:name w:val="列出段落1"/>
    <w:basedOn w:val="1"/>
    <w:uiPriority w:val="0"/>
    <w:pPr>
      <w:ind w:firstLine="420" w:firstLineChars="200"/>
    </w:pPr>
  </w:style>
  <w:style w:type="paragraph" w:customStyle="1" w:styleId="23">
    <w:name w:val="Default"/>
    <w:uiPriority w:val="0"/>
    <w:pPr>
      <w:widowControl w:val="0"/>
      <w:autoSpaceDE w:val="0"/>
      <w:autoSpaceDN w:val="0"/>
    </w:pPr>
    <w:rPr>
      <w:rFonts w:cs="宋体"/>
      <w:color w:val="000000"/>
      <w:sz w:val="24"/>
      <w:szCs w:val="24"/>
      <w:lang w:val="en-US" w:eastAsia="zh-CN" w:bidi="ar-SA"/>
    </w:rPr>
  </w:style>
  <w:style w:type="paragraph" w:customStyle="1" w:styleId="24">
    <w:name w:val="封面标准英文名称"/>
    <w:basedOn w:val="1"/>
    <w:uiPriority w:val="0"/>
    <w:pPr>
      <w:framePr w:w="9639" w:h="6917" w:hRule="exact" w:wrap="around" w:vAnchor="page" w:hAnchor="page" w:xAlign="center" w:y="6408" w:anchorLock="1"/>
      <w:spacing w:before="370" w:line="400" w:lineRule="exact"/>
      <w:jc w:val="center"/>
      <w:textAlignment w:val="center"/>
    </w:pPr>
    <w:rPr>
      <w:rFonts w:ascii="Times New Roman" w:hAnsi="Times New Roman" w:eastAsia="黑体"/>
      <w:kern w:val="0"/>
      <w:sz w:val="28"/>
      <w:szCs w:val="28"/>
    </w:rPr>
  </w:style>
  <w:style w:type="paragraph" w:customStyle="1" w:styleId="25">
    <w:name w:val="a"/>
    <w:basedOn w:val="1"/>
    <w:uiPriority w:val="0"/>
    <w:pPr>
      <w:widowControl/>
      <w:spacing w:before="100" w:beforeAutospacing="1" w:after="100" w:afterAutospacing="1"/>
      <w:jc w:val="left"/>
    </w:pPr>
    <w:rPr>
      <w:rFonts w:ascii="宋体" w:hAnsi="宋体" w:cs="宋体"/>
      <w:kern w:val="0"/>
      <w:sz w:val="24"/>
      <w:szCs w:val="24"/>
    </w:rPr>
  </w:style>
  <w:style w:type="paragraph" w:customStyle="1" w:styleId="26">
    <w:name w:val="条文"/>
    <w:basedOn w:val="1"/>
    <w:link w:val="36"/>
    <w:uiPriority w:val="99"/>
    <w:pPr>
      <w:adjustRightInd w:val="0"/>
      <w:spacing w:line="300" w:lineRule="auto"/>
      <w:ind w:firstLine="200" w:firstLineChars="200"/>
      <w:outlineLvl w:val="2"/>
    </w:pPr>
    <w:rPr>
      <w:kern w:val="0"/>
      <w:sz w:val="24"/>
      <w:szCs w:val="20"/>
    </w:rPr>
  </w:style>
  <w:style w:type="paragraph" w:customStyle="1" w:styleId="27">
    <w:name w:val="段落正文"/>
    <w:basedOn w:val="1"/>
    <w:uiPriority w:val="0"/>
    <w:pPr>
      <w:spacing w:line="300" w:lineRule="auto"/>
      <w:ind w:firstLine="482" w:firstLineChars="200"/>
    </w:pPr>
    <w:rPr>
      <w:rFonts w:ascii="Times New Roman" w:hAnsi="Times New Roman"/>
      <w:sz w:val="24"/>
      <w:szCs w:val="24"/>
    </w:rPr>
  </w:style>
  <w:style w:type="paragraph" w:styleId="28">
    <w:name w:val="List Paragraph"/>
    <w:basedOn w:val="1"/>
    <w:qFormat/>
    <w:uiPriority w:val="34"/>
    <w:pPr>
      <w:ind w:firstLine="420" w:firstLineChars="200"/>
    </w:pPr>
    <w:rPr>
      <w:rFonts w:ascii="Calibri" w:hAnsi="Calibri" w:eastAsia="宋体" w:cs="Times New Roman"/>
    </w:rPr>
  </w:style>
  <w:style w:type="character" w:customStyle="1" w:styleId="29">
    <w:name w:val="标题 1 Char"/>
    <w:link w:val="2"/>
    <w:uiPriority w:val="0"/>
    <w:rPr>
      <w:b/>
      <w:bCs/>
      <w:kern w:val="44"/>
      <w:sz w:val="44"/>
      <w:szCs w:val="44"/>
    </w:rPr>
  </w:style>
  <w:style w:type="character" w:customStyle="1" w:styleId="30">
    <w:name w:val="正文文本 Char"/>
    <w:link w:val="4"/>
    <w:uiPriority w:val="1"/>
    <w:rPr>
      <w:rFonts w:ascii="宋体" w:hAnsi="宋体" w:cs="Calibri"/>
      <w:kern w:val="2"/>
      <w:sz w:val="30"/>
      <w:szCs w:val="30"/>
    </w:rPr>
  </w:style>
  <w:style w:type="character" w:customStyle="1" w:styleId="31">
    <w:name w:val="文档结构图 Char"/>
    <w:link w:val="3"/>
    <w:semiHidden/>
    <w:uiPriority w:val="99"/>
    <w:rPr>
      <w:rFonts w:ascii="宋体"/>
      <w:kern w:val="2"/>
      <w:sz w:val="18"/>
      <w:szCs w:val="18"/>
    </w:rPr>
  </w:style>
  <w:style w:type="character" w:customStyle="1" w:styleId="32">
    <w:name w:val="textcontents1"/>
    <w:uiPriority w:val="0"/>
    <w:rPr>
      <w:color w:val="000000"/>
      <w:sz w:val="18"/>
      <w:szCs w:val="18"/>
    </w:rPr>
  </w:style>
  <w:style w:type="character" w:customStyle="1" w:styleId="33">
    <w:name w:val="页脚 Char"/>
    <w:link w:val="6"/>
    <w:uiPriority w:val="99"/>
    <w:rPr>
      <w:kern w:val="2"/>
      <w:sz w:val="18"/>
      <w:szCs w:val="18"/>
    </w:rPr>
  </w:style>
  <w:style w:type="character" w:customStyle="1" w:styleId="34">
    <w:name w:val="批注框文本 Char"/>
    <w:link w:val="5"/>
    <w:semiHidden/>
    <w:uiPriority w:val="99"/>
    <w:rPr>
      <w:kern w:val="2"/>
      <w:sz w:val="18"/>
      <w:szCs w:val="18"/>
    </w:rPr>
  </w:style>
  <w:style w:type="character" w:customStyle="1" w:styleId="35">
    <w:name w:val="页眉 Char"/>
    <w:link w:val="7"/>
    <w:uiPriority w:val="99"/>
    <w:rPr>
      <w:kern w:val="2"/>
      <w:sz w:val="18"/>
      <w:szCs w:val="18"/>
    </w:rPr>
  </w:style>
  <w:style w:type="character" w:customStyle="1" w:styleId="36">
    <w:name w:val="条文 Char"/>
    <w:link w:val="26"/>
    <w:uiPriority w:val="99"/>
    <w:rPr>
      <w:sz w:val="24"/>
    </w:rPr>
  </w:style>
  <w:style w:type="character" w:customStyle="1" w:styleId="37">
    <w:name w:val="说明扩展 字符"/>
    <w:link w:val="17"/>
    <w:uiPriority w:val="0"/>
    <w:rPr>
      <w:rFonts w:ascii="宋体" w:hAnsi="宋体"/>
      <w:kern w:val="2"/>
      <w:sz w:val="24"/>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60</Pages>
  <Words>47914</Words>
  <Characters>57977</Characters>
  <Lines>3865</Lines>
  <Paragraphs>3781</Paragraphs>
  <TotalTime>0</TotalTime>
  <ScaleCrop>false</ScaleCrop>
  <LinksUpToDate>false</LinksUpToDate>
  <CharactersWithSpaces>102110</CharactersWithSpaces>
  <Application>WPS Office_11.1.0.9208_F1E327BC-269C-435d-A152-05C5408002CA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2020-03-06T02:25:00Z</dcterms:created>
  <dc:creator>刘亚美</dc:creator>
  <cp:lastModifiedBy>一步一步</cp:lastModifiedBy>
  <cp:lastPrinted>2019-11-12T01:39:00Z</cp:lastPrinted>
  <dcterms:modified xsi:type="dcterms:W3CDTF">2020-09-28T15:15:13Z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2052-11.1.0.9208</vt:lpwstr>
  </property>
</Properties>
</file>