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2D5" w:rsidRPr="0069329F" w:rsidRDefault="00AE42D5" w:rsidP="00AE42D5">
      <w:pPr>
        <w:spacing w:line="360" w:lineRule="exact"/>
        <w:rPr>
          <w:rFonts w:eastAsia="黑体"/>
          <w:sz w:val="32"/>
          <w:szCs w:val="32"/>
        </w:rPr>
      </w:pPr>
      <w:r w:rsidRPr="0069329F">
        <w:rPr>
          <w:rFonts w:eastAsia="黑体"/>
          <w:sz w:val="32"/>
          <w:szCs w:val="32"/>
        </w:rPr>
        <w:t>附件</w:t>
      </w:r>
      <w:r w:rsidRPr="0069329F">
        <w:rPr>
          <w:rFonts w:eastAsia="黑体"/>
          <w:sz w:val="32"/>
          <w:szCs w:val="32"/>
        </w:rPr>
        <w:t>2</w:t>
      </w:r>
    </w:p>
    <w:p w:rsidR="00AE42D5" w:rsidRPr="0069329F" w:rsidRDefault="00AE42D5" w:rsidP="00AE42D5">
      <w:pPr>
        <w:spacing w:line="360" w:lineRule="exact"/>
      </w:pPr>
      <w:bookmarkStart w:id="0" w:name="_GoBack"/>
      <w:bookmarkEnd w:id="0"/>
    </w:p>
    <w:p w:rsidR="00AE42D5" w:rsidRPr="0069329F" w:rsidRDefault="00AE42D5" w:rsidP="00AE42D5">
      <w:pPr>
        <w:spacing w:line="560" w:lineRule="exact"/>
        <w:jc w:val="center"/>
        <w:rPr>
          <w:rFonts w:eastAsia="华文中宋"/>
          <w:sz w:val="36"/>
          <w:szCs w:val="36"/>
        </w:rPr>
      </w:pPr>
      <w:r w:rsidRPr="0069329F">
        <w:rPr>
          <w:rFonts w:eastAsia="华文中宋"/>
          <w:sz w:val="36"/>
          <w:szCs w:val="36"/>
        </w:rPr>
        <w:t>广西壮族自治区建设用地年度计划指标管理办法</w:t>
      </w:r>
    </w:p>
    <w:p w:rsidR="00AE42D5" w:rsidRPr="0069329F" w:rsidRDefault="00AE42D5" w:rsidP="00AE42D5">
      <w:pPr>
        <w:spacing w:line="560" w:lineRule="exact"/>
        <w:jc w:val="center"/>
        <w:rPr>
          <w:rFonts w:eastAsia="华文中宋"/>
          <w:b/>
          <w:sz w:val="32"/>
          <w:szCs w:val="32"/>
        </w:rPr>
      </w:pPr>
      <w:r w:rsidRPr="0069329F">
        <w:rPr>
          <w:rFonts w:eastAsia="华文中宋"/>
          <w:sz w:val="36"/>
          <w:szCs w:val="36"/>
        </w:rPr>
        <w:t>（试行）中有关表述说明</w:t>
      </w:r>
    </w:p>
    <w:p w:rsidR="00AE42D5" w:rsidRPr="0069329F" w:rsidRDefault="00AE42D5" w:rsidP="00AE42D5">
      <w:pPr>
        <w:spacing w:line="560" w:lineRule="exact"/>
        <w:ind w:firstLineChars="200" w:firstLine="640"/>
        <w:rPr>
          <w:rFonts w:eastAsia="仿宋_GB2312"/>
          <w:sz w:val="32"/>
          <w:szCs w:val="32"/>
        </w:rPr>
      </w:pP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1.</w:t>
      </w:r>
      <w:r w:rsidRPr="0069329F">
        <w:rPr>
          <w:rFonts w:eastAsia="仿宋_GB2312"/>
          <w:sz w:val="32"/>
          <w:szCs w:val="32"/>
        </w:rPr>
        <w:t>城市重点新区是指国家批准的综合改革试验区或是自治区党委、自治区人民政府明确提出重点推进的新区。</w:t>
      </w: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2.</w:t>
      </w:r>
      <w:r w:rsidRPr="0069329F">
        <w:rPr>
          <w:rFonts w:eastAsia="仿宋_GB2312"/>
          <w:sz w:val="32"/>
          <w:szCs w:val="32"/>
        </w:rPr>
        <w:t>近五年平均供地率是指所在市、县近五年土地供应面积与土地审批面积之比，该数据来源于国土资源</w:t>
      </w:r>
      <w:proofErr w:type="gramStart"/>
      <w:r w:rsidRPr="0069329F">
        <w:rPr>
          <w:rFonts w:eastAsia="仿宋_GB2312"/>
          <w:sz w:val="32"/>
          <w:szCs w:val="32"/>
        </w:rPr>
        <w:t>部土地</w:t>
      </w:r>
      <w:proofErr w:type="gramEnd"/>
      <w:r w:rsidRPr="0069329F">
        <w:rPr>
          <w:rFonts w:eastAsia="仿宋_GB2312"/>
          <w:sz w:val="32"/>
          <w:szCs w:val="32"/>
        </w:rPr>
        <w:t>市场动态监测与监管系统。</w:t>
      </w: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3.</w:t>
      </w:r>
      <w:r w:rsidRPr="0069329F">
        <w:rPr>
          <w:rFonts w:eastAsia="仿宋_GB2312"/>
          <w:sz w:val="32"/>
          <w:szCs w:val="32"/>
        </w:rPr>
        <w:t>用地报批率是指截止统计时点，各市完成年度计划指标报批数量与下达各市指标之比（年初下达的计划指标与有时间要求到期使用的计划指标之和），各市报批时间以厅行政审批办公室受理时间为准。</w:t>
      </w: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4.</w:t>
      </w:r>
      <w:r w:rsidRPr="0069329F">
        <w:rPr>
          <w:rFonts w:eastAsia="仿宋_GB2312"/>
          <w:sz w:val="32"/>
          <w:szCs w:val="32"/>
        </w:rPr>
        <w:t>固定资产投资指标，指计划当年固定资产投资任务。</w:t>
      </w: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5.</w:t>
      </w:r>
      <w:r w:rsidRPr="0069329F">
        <w:rPr>
          <w:rFonts w:eastAsia="仿宋_GB2312"/>
          <w:sz w:val="32"/>
          <w:szCs w:val="32"/>
        </w:rPr>
        <w:t>上一年度存量土地规模是指上一年底</w:t>
      </w:r>
      <w:proofErr w:type="gramStart"/>
      <w:r w:rsidRPr="0069329F">
        <w:rPr>
          <w:rFonts w:eastAsia="仿宋_GB2312"/>
          <w:sz w:val="32"/>
          <w:szCs w:val="32"/>
        </w:rPr>
        <w:t>止</w:t>
      </w:r>
      <w:proofErr w:type="gramEnd"/>
      <w:r w:rsidRPr="0069329F">
        <w:rPr>
          <w:rFonts w:eastAsia="仿宋_GB2312"/>
          <w:sz w:val="32"/>
          <w:szCs w:val="32"/>
        </w:rPr>
        <w:t>各市存量土地规模。</w:t>
      </w: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6.</w:t>
      </w:r>
      <w:r w:rsidRPr="0069329F">
        <w:rPr>
          <w:rFonts w:eastAsia="仿宋_GB2312"/>
          <w:sz w:val="32"/>
          <w:szCs w:val="32"/>
        </w:rPr>
        <w:t>人均城镇用地指上一年度城镇用地面积与城镇常住人口之比。</w:t>
      </w:r>
    </w:p>
    <w:p w:rsidR="00AE42D5" w:rsidRPr="0069329F" w:rsidRDefault="00AE42D5" w:rsidP="00AE42D5">
      <w:pPr>
        <w:spacing w:line="560" w:lineRule="exact"/>
        <w:ind w:firstLineChars="200" w:firstLine="640"/>
        <w:rPr>
          <w:rFonts w:eastAsia="仿宋_GB2312"/>
          <w:sz w:val="32"/>
          <w:szCs w:val="32"/>
        </w:rPr>
      </w:pPr>
      <w:r w:rsidRPr="0069329F">
        <w:rPr>
          <w:rFonts w:eastAsia="仿宋_GB2312"/>
          <w:sz w:val="32"/>
          <w:szCs w:val="32"/>
        </w:rPr>
        <w:t>7.</w:t>
      </w:r>
      <w:r w:rsidRPr="0069329F">
        <w:rPr>
          <w:rFonts w:eastAsia="仿宋_GB2312"/>
          <w:sz w:val="32"/>
          <w:szCs w:val="32"/>
        </w:rPr>
        <w:t>前三年度单位</w:t>
      </w:r>
      <w:r w:rsidRPr="0069329F">
        <w:rPr>
          <w:rFonts w:eastAsia="仿宋_GB2312"/>
          <w:sz w:val="32"/>
          <w:szCs w:val="32"/>
        </w:rPr>
        <w:t>GDP</w:t>
      </w:r>
      <w:r w:rsidRPr="0069329F">
        <w:rPr>
          <w:rFonts w:eastAsia="仿宋_GB2312"/>
          <w:sz w:val="32"/>
          <w:szCs w:val="32"/>
        </w:rPr>
        <w:t>和固定资产投资规模增长的新增建设用地消耗考核是指计划前三年度该项考核的考核结果。</w:t>
      </w:r>
    </w:p>
    <w:p w:rsidR="00AE42D5" w:rsidRPr="0069329F" w:rsidRDefault="00AE42D5" w:rsidP="00AE42D5">
      <w:pPr>
        <w:spacing w:line="560" w:lineRule="exact"/>
        <w:rPr>
          <w:rFonts w:eastAsia="仿宋_GB2312"/>
          <w:sz w:val="32"/>
          <w:szCs w:val="32"/>
        </w:rPr>
      </w:pPr>
    </w:p>
    <w:p w:rsidR="00AE42D5" w:rsidRPr="0069329F" w:rsidRDefault="00AE42D5" w:rsidP="00AE42D5">
      <w:pPr>
        <w:spacing w:line="560" w:lineRule="exact"/>
      </w:pPr>
    </w:p>
    <w:p w:rsidR="00F61CB4" w:rsidRPr="00AE42D5" w:rsidRDefault="00F61CB4"/>
    <w:sectPr w:rsidR="00F61CB4" w:rsidRPr="00AE42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42D5"/>
    <w:rsid w:val="00AE42D5"/>
    <w:rsid w:val="00F61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2D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2D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326</Characters>
  <Application>Microsoft Office Word</Application>
  <DocSecurity>0</DocSecurity>
  <Lines>2</Lines>
  <Paragraphs>1</Paragraphs>
  <ScaleCrop>false</ScaleCrop>
  <Company>Microsoft</Company>
  <LinksUpToDate>false</LinksUpToDate>
  <CharactersWithSpaces>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蒙盈盈</dc:creator>
  <cp:lastModifiedBy>蒙盈盈</cp:lastModifiedBy>
  <cp:revision>1</cp:revision>
  <dcterms:created xsi:type="dcterms:W3CDTF">2015-08-17T02:44:00Z</dcterms:created>
  <dcterms:modified xsi:type="dcterms:W3CDTF">2015-08-17T02:45:00Z</dcterms:modified>
</cp:coreProperties>
</file>