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pacing w:before="156" w:beforeLines="50" w:after="156" w:afterLines="50" w:line="500" w:lineRule="exact"/>
        <w:jc w:val="center"/>
        <w:rPr>
          <w:rFonts w:hint="eastAsia" w:ascii="方正宋黑_GBK" w:eastAsia="方正宋黑_GBK" w:cs="仿宋_GB2312"/>
          <w:bCs/>
          <w:color w:val="000000"/>
          <w:sz w:val="24"/>
          <w:szCs w:val="32"/>
          <w:lang w:val="zh-CN"/>
        </w:rPr>
      </w:pPr>
      <w:r>
        <w:rPr>
          <w:rFonts w:hint="eastAsia" w:ascii="方正宋黑_GBK" w:eastAsia="方正宋黑_GBK" w:cs="仿宋_GB2312"/>
          <w:bCs/>
          <w:color w:val="000000"/>
          <w:sz w:val="32"/>
          <w:szCs w:val="32"/>
          <w:lang w:val="zh-CN"/>
        </w:rPr>
        <w:t>建设项目用地预审申请表</w:t>
      </w:r>
    </w:p>
    <w:tbl>
      <w:tblPr>
        <w:tblStyle w:val="3"/>
        <w:tblW w:w="788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525"/>
        <w:gridCol w:w="980"/>
        <w:gridCol w:w="140"/>
        <w:gridCol w:w="933"/>
        <w:gridCol w:w="812"/>
        <w:gridCol w:w="261"/>
        <w:gridCol w:w="314"/>
        <w:gridCol w:w="759"/>
        <w:gridCol w:w="376"/>
        <w:gridCol w:w="485"/>
        <w:gridCol w:w="129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525" w:type="dxa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ind w:firstLine="210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项    目</w:t>
            </w:r>
          </w:p>
          <w:p>
            <w:pPr>
              <w:adjustRightInd w:val="0"/>
              <w:snapToGrid w:val="0"/>
              <w:ind w:firstLine="210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名    称</w:t>
            </w:r>
          </w:p>
        </w:tc>
        <w:tc>
          <w:tcPr>
            <w:tcW w:w="2865" w:type="dxa"/>
            <w:gridSpan w:val="4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>××××××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污水处理厂</w:t>
            </w:r>
          </w:p>
        </w:tc>
        <w:tc>
          <w:tcPr>
            <w:tcW w:w="1334" w:type="dxa"/>
            <w:gridSpan w:val="3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ind w:firstLine="105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项目拟建</w:t>
            </w:r>
          </w:p>
          <w:p>
            <w:pPr>
              <w:adjustRightInd w:val="0"/>
              <w:snapToGrid w:val="0"/>
              <w:ind w:firstLine="105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地    点</w:t>
            </w:r>
          </w:p>
        </w:tc>
        <w:tc>
          <w:tcPr>
            <w:tcW w:w="2157" w:type="dxa"/>
            <w:gridSpan w:val="3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>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市</w:t>
            </w:r>
            <w:r>
              <w:rPr>
                <w:rFonts w:eastAsia="方正仿宋简体"/>
                <w:color w:val="000000"/>
                <w:szCs w:val="21"/>
              </w:rPr>
              <w:t>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县</w:t>
            </w:r>
            <w:r>
              <w:rPr>
                <w:rFonts w:eastAsia="方正仿宋简体"/>
                <w:color w:val="000000"/>
                <w:szCs w:val="21"/>
              </w:rPr>
              <w:t>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镇</w:t>
            </w:r>
            <w:r>
              <w:rPr>
                <w:rFonts w:eastAsia="方正仿宋简体"/>
                <w:color w:val="000000"/>
                <w:szCs w:val="21"/>
              </w:rPr>
              <w:t>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525" w:type="dxa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项目审批核准备案的机关</w:t>
            </w:r>
          </w:p>
        </w:tc>
        <w:tc>
          <w:tcPr>
            <w:tcW w:w="2865" w:type="dxa"/>
            <w:gridSpan w:val="4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广西壮族自治区</w:t>
            </w:r>
          </w:p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发展和改革委员会</w:t>
            </w:r>
          </w:p>
        </w:tc>
        <w:tc>
          <w:tcPr>
            <w:tcW w:w="1334" w:type="dxa"/>
            <w:gridSpan w:val="3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ind w:left="-42" w:leftChars="-20" w:right="-42" w:rightChars="-20"/>
              <w:jc w:val="center"/>
              <w:rPr>
                <w:rFonts w:eastAsia="方正仿宋简体"/>
                <w:color w:val="000000"/>
                <w:spacing w:val="-6"/>
                <w:szCs w:val="21"/>
              </w:rPr>
            </w:pPr>
            <w:r>
              <w:rPr>
                <w:rFonts w:eastAsia="方正仿宋简体"/>
                <w:color w:val="000000"/>
                <w:spacing w:val="-6"/>
                <w:szCs w:val="21"/>
                <w:lang w:val="zh-CN"/>
              </w:rPr>
              <w:t>项目拟投资规模（万元）</w:t>
            </w:r>
          </w:p>
        </w:tc>
        <w:tc>
          <w:tcPr>
            <w:tcW w:w="2157" w:type="dxa"/>
            <w:gridSpan w:val="3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>××××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525" w:type="dxa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项目依据的国家规划、行业规划、区域规划、省级有关规划等</w:t>
            </w:r>
          </w:p>
        </w:tc>
        <w:tc>
          <w:tcPr>
            <w:tcW w:w="6356" w:type="dxa"/>
            <w:gridSpan w:val="10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 xml:space="preserve">    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根据</w:t>
            </w:r>
            <w:r>
              <w:rPr>
                <w:rFonts w:eastAsia="方正仿宋简体"/>
                <w:color w:val="000000"/>
                <w:szCs w:val="21"/>
              </w:rPr>
              <w:t>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规划，为解决</w:t>
            </w:r>
            <w:r>
              <w:rPr>
                <w:rFonts w:eastAsia="方正仿宋简体"/>
                <w:color w:val="000000"/>
                <w:szCs w:val="21"/>
              </w:rPr>
              <w:t>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市</w:t>
            </w:r>
            <w:r>
              <w:rPr>
                <w:rFonts w:eastAsia="方正仿宋简体"/>
                <w:color w:val="000000"/>
                <w:szCs w:val="21"/>
              </w:rPr>
              <w:t>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新区的水环境治理问题，自治区发展和改革委员会以桂发改投〔2006〕</w:t>
            </w:r>
            <w:r>
              <w:rPr>
                <w:rFonts w:eastAsia="方正仿宋简体"/>
                <w:color w:val="000000"/>
                <w:szCs w:val="21"/>
              </w:rPr>
              <w:t>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号文批复了</w:t>
            </w:r>
            <w:r>
              <w:rPr>
                <w:rFonts w:eastAsia="方正仿宋简体"/>
                <w:color w:val="000000"/>
                <w:szCs w:val="21"/>
              </w:rPr>
              <w:t>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污水处理厂的立项（或同意开展前期工作）。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restart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项目拟用地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总规模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（公顷）</w:t>
            </w:r>
          </w:p>
        </w:tc>
        <w:tc>
          <w:tcPr>
            <w:tcW w:w="980" w:type="dxa"/>
            <w:vMerge w:val="restart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用  地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总面积</w:t>
            </w:r>
          </w:p>
        </w:tc>
        <w:tc>
          <w:tcPr>
            <w:tcW w:w="3219" w:type="dxa"/>
            <w:gridSpan w:val="6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农用地</w:t>
            </w:r>
          </w:p>
        </w:tc>
        <w:tc>
          <w:tcPr>
            <w:tcW w:w="861" w:type="dxa"/>
            <w:gridSpan w:val="2"/>
            <w:vMerge w:val="restart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建设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用地</w:t>
            </w:r>
          </w:p>
        </w:tc>
        <w:tc>
          <w:tcPr>
            <w:tcW w:w="1296" w:type="dxa"/>
            <w:vMerge w:val="restart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未利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用地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continue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980" w:type="dxa"/>
            <w:vMerge w:val="continue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073" w:type="dxa"/>
            <w:gridSpan w:val="2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合计</w:t>
            </w:r>
          </w:p>
        </w:tc>
        <w:tc>
          <w:tcPr>
            <w:tcW w:w="1073" w:type="dxa"/>
            <w:gridSpan w:val="2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耕地</w:t>
            </w:r>
          </w:p>
        </w:tc>
        <w:tc>
          <w:tcPr>
            <w:tcW w:w="1073" w:type="dxa"/>
            <w:gridSpan w:val="2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基本农田</w:t>
            </w:r>
          </w:p>
        </w:tc>
        <w:tc>
          <w:tcPr>
            <w:tcW w:w="861" w:type="dxa"/>
            <w:gridSpan w:val="2"/>
            <w:vMerge w:val="continue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296" w:type="dxa"/>
            <w:vMerge w:val="continue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continue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980" w:type="dxa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073" w:type="dxa"/>
            <w:gridSpan w:val="2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>××</w:t>
            </w:r>
          </w:p>
        </w:tc>
        <w:tc>
          <w:tcPr>
            <w:tcW w:w="1073" w:type="dxa"/>
            <w:gridSpan w:val="2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>××</w:t>
            </w:r>
          </w:p>
        </w:tc>
        <w:tc>
          <w:tcPr>
            <w:tcW w:w="1073" w:type="dxa"/>
            <w:gridSpan w:val="2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>××</w:t>
            </w:r>
          </w:p>
        </w:tc>
        <w:tc>
          <w:tcPr>
            <w:tcW w:w="861" w:type="dxa"/>
            <w:gridSpan w:val="2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>××</w:t>
            </w:r>
          </w:p>
        </w:tc>
        <w:tc>
          <w:tcPr>
            <w:tcW w:w="1296" w:type="dxa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>××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525" w:type="dxa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项目各组成部分（功能分区）用地情况</w:t>
            </w:r>
          </w:p>
        </w:tc>
        <w:tc>
          <w:tcPr>
            <w:tcW w:w="6356" w:type="dxa"/>
            <w:gridSpan w:val="10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ind w:firstLine="420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污水、污泥处理构筑物：</w:t>
            </w:r>
            <w:r>
              <w:rPr>
                <w:rFonts w:eastAsia="方正仿宋简体"/>
                <w:color w:val="000000"/>
                <w:szCs w:val="21"/>
              </w:rPr>
              <w:t>20840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平方米比例</w:t>
            </w:r>
            <w:r>
              <w:rPr>
                <w:rFonts w:eastAsia="方正仿宋简体"/>
                <w:color w:val="000000"/>
                <w:szCs w:val="21"/>
              </w:rPr>
              <w:t>23.8%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；污水、污泥处理建筑物</w:t>
            </w:r>
            <w:r>
              <w:rPr>
                <w:rFonts w:eastAsia="方正仿宋简体"/>
                <w:color w:val="000000"/>
                <w:szCs w:val="21"/>
              </w:rPr>
              <w:t>2921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平方米比例</w:t>
            </w:r>
            <w:r>
              <w:rPr>
                <w:rFonts w:eastAsia="方正仿宋简体"/>
                <w:color w:val="000000"/>
                <w:szCs w:val="21"/>
              </w:rPr>
              <w:t>3.3%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；辅助建筑</w:t>
            </w:r>
            <w:r>
              <w:rPr>
                <w:rFonts w:eastAsia="方正仿宋简体"/>
                <w:color w:val="000000"/>
                <w:szCs w:val="21"/>
              </w:rPr>
              <w:t>2978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平方米比例</w:t>
            </w:r>
            <w:r>
              <w:rPr>
                <w:rFonts w:eastAsia="方正仿宋简体"/>
                <w:color w:val="000000"/>
                <w:szCs w:val="21"/>
              </w:rPr>
              <w:t>3.4%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；厂区通路</w:t>
            </w:r>
            <w:r>
              <w:rPr>
                <w:rFonts w:eastAsia="方正仿宋简体"/>
                <w:color w:val="000000"/>
                <w:szCs w:val="21"/>
              </w:rPr>
              <w:t>16300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平方米比例</w:t>
            </w:r>
            <w:r>
              <w:rPr>
                <w:rFonts w:eastAsia="方正仿宋简体"/>
                <w:color w:val="000000"/>
                <w:szCs w:val="21"/>
              </w:rPr>
              <w:t>18.6%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；绿化</w:t>
            </w:r>
            <w:r>
              <w:rPr>
                <w:rFonts w:eastAsia="方正仿宋简体"/>
                <w:color w:val="000000"/>
                <w:szCs w:val="21"/>
              </w:rPr>
              <w:t>39195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平方米比例</w:t>
            </w:r>
            <w:r>
              <w:rPr>
                <w:rFonts w:eastAsia="方正仿宋简体"/>
                <w:color w:val="000000"/>
                <w:szCs w:val="21"/>
              </w:rPr>
              <w:t>44.7%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；其它</w:t>
            </w:r>
            <w:r>
              <w:rPr>
                <w:rFonts w:eastAsia="方正仿宋简体"/>
                <w:color w:val="000000"/>
                <w:szCs w:val="21"/>
              </w:rPr>
              <w:t>5400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平方米比例</w:t>
            </w:r>
            <w:r>
              <w:rPr>
                <w:rFonts w:eastAsia="方正仿宋简体"/>
                <w:color w:val="000000"/>
                <w:szCs w:val="21"/>
              </w:rPr>
              <w:t>6.2%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525" w:type="dxa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补充耕地资金标准和总额、补充耕地拟采取方式及措施</w:t>
            </w:r>
          </w:p>
        </w:tc>
        <w:tc>
          <w:tcPr>
            <w:tcW w:w="6356" w:type="dxa"/>
            <w:gridSpan w:val="10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 xml:space="preserve">    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根据广西壮族自治区耕地开垦费征收有关规定（列出文件名称和文号），拟按照</w:t>
            </w:r>
            <w:r>
              <w:rPr>
                <w:rFonts w:eastAsia="方正仿宋简体"/>
                <w:color w:val="000000"/>
                <w:szCs w:val="21"/>
              </w:rPr>
              <w:t>××元/亩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的标准计列和缴纳耕地开垦费，拟与</w:t>
            </w:r>
            <w:r>
              <w:rPr>
                <w:rFonts w:eastAsia="方正仿宋简体"/>
                <w:color w:val="000000"/>
                <w:szCs w:val="21"/>
              </w:rPr>
              <w:t>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市（县）国土资源行政主管部门签定协议，委托其代为补充耕地。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restart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联系方式</w:t>
            </w:r>
          </w:p>
        </w:tc>
        <w:tc>
          <w:tcPr>
            <w:tcW w:w="1120" w:type="dxa"/>
            <w:gridSpan w:val="2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联系单位</w:t>
            </w:r>
          </w:p>
        </w:tc>
        <w:tc>
          <w:tcPr>
            <w:tcW w:w="5236" w:type="dxa"/>
            <w:gridSpan w:val="8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>××××××××××××××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continue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120" w:type="dxa"/>
            <w:gridSpan w:val="2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通讯地址</w:t>
            </w:r>
          </w:p>
        </w:tc>
        <w:tc>
          <w:tcPr>
            <w:tcW w:w="5236" w:type="dxa"/>
            <w:gridSpan w:val="8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>××××××××××××××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525" w:type="dxa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联系人及电话</w:t>
            </w:r>
          </w:p>
        </w:tc>
        <w:tc>
          <w:tcPr>
            <w:tcW w:w="3440" w:type="dxa"/>
            <w:gridSpan w:val="6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>××××××××××</w:t>
            </w:r>
          </w:p>
        </w:tc>
        <w:tc>
          <w:tcPr>
            <w:tcW w:w="1135" w:type="dxa"/>
            <w:gridSpan w:val="2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邮政编码</w:t>
            </w:r>
          </w:p>
        </w:tc>
        <w:tc>
          <w:tcPr>
            <w:tcW w:w="1781" w:type="dxa"/>
            <w:gridSpan w:val="2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</w:rPr>
              <w:t>××××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525" w:type="dxa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备</w:t>
            </w:r>
            <w:r>
              <w:rPr>
                <w:rFonts w:eastAsia="方正仿宋简体"/>
                <w:color w:val="000000"/>
                <w:szCs w:val="21"/>
              </w:rPr>
              <w:t xml:space="preserve">    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注</w:t>
            </w:r>
          </w:p>
        </w:tc>
        <w:tc>
          <w:tcPr>
            <w:tcW w:w="6356" w:type="dxa"/>
            <w:gridSpan w:val="10"/>
            <w:tcMar>
              <w:top w:w="85" w:type="dxa"/>
              <w:bottom w:w="85" w:type="dxa"/>
            </w:tcMar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ind w:firstLine="3465" w:firstLineChars="1650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建设单位（盖章）</w:t>
            </w:r>
          </w:p>
          <w:p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 xml:space="preserve">   </w:t>
            </w:r>
            <w:r>
              <w:rPr>
                <w:rFonts w:hint="eastAsia" w:eastAsia="方正仿宋简体"/>
                <w:color w:val="000000"/>
                <w:szCs w:val="21"/>
              </w:rPr>
              <w:t xml:space="preserve">                                 </w:t>
            </w:r>
            <w:r>
              <w:rPr>
                <w:rFonts w:eastAsia="方正仿宋简体"/>
                <w:color w:val="000000"/>
                <w:szCs w:val="21"/>
              </w:rPr>
              <w:t xml:space="preserve"> 20××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年</w:t>
            </w:r>
            <w:r>
              <w:rPr>
                <w:rFonts w:eastAsia="方正仿宋简体"/>
                <w:color w:val="000000"/>
                <w:szCs w:val="21"/>
              </w:rPr>
              <w:t>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月</w:t>
            </w:r>
            <w:r>
              <w:rPr>
                <w:rFonts w:eastAsia="方正仿宋简体"/>
                <w:color w:val="000000"/>
                <w:szCs w:val="21"/>
              </w:rPr>
              <w:t>××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日</w:t>
            </w:r>
          </w:p>
        </w:tc>
      </w:tr>
    </w:tbl>
    <w:p>
      <w:pPr>
        <w:adjustRightInd w:val="0"/>
        <w:spacing w:line="20" w:lineRule="exact"/>
        <w:jc w:val="center"/>
        <w:rPr>
          <w:rFonts w:ascii="方正宋黑_GBK" w:eastAsia="方正宋黑_GBK" w:cs="仿宋_GB2312"/>
          <w:bCs/>
          <w:color w:val="000000"/>
          <w:sz w:val="36"/>
          <w:szCs w:val="36"/>
          <w:lang w:val="zh-CN"/>
        </w:rPr>
      </w:pPr>
    </w:p>
    <w:p>
      <w:pPr>
        <w:rPr>
          <w:rFonts w:hint="eastAsia" w:ascii="方正书宋_GBK" w:eastAsia="方正书宋_GBK"/>
          <w:color w:val="000000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宋黑_GBK">
    <w:altName w:val="宋体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方正书宋_GBK">
    <w:altName w:val="微软雅黑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C33E6"/>
    <w:rsid w:val="00982510"/>
    <w:rsid w:val="00AC33E6"/>
    <w:rsid w:val="107930F8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105</Words>
  <Characters>602</Characters>
  <Lines>5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2014-10-14T07:18:00Z</dcterms:created>
  <dc:creator>蒙盈盈</dc:creator>
  <cp:lastModifiedBy>Administrator</cp:lastModifiedBy>
  <dcterms:modified xsi:type="dcterms:W3CDTF">2015-10-23T08:58:41Z</dcterms:modified>
  <dc:title>建设项目用地预审申请表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