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z w:val="30"/>
          <w:szCs w:val="30"/>
        </w:rPr>
      </w:pPr>
      <w:r>
        <w:rPr>
          <w:rFonts w:ascii="黑体" w:hAnsi="黑体" w:eastAsia="黑体" w:cs="Times New Roman"/>
          <w:sz w:val="30"/>
          <w:szCs w:val="30"/>
        </w:rPr>
        <w:t>附件</w:t>
      </w:r>
      <w:r>
        <w:rPr>
          <w:rFonts w:hint="eastAsia" w:ascii="黑体" w:hAnsi="黑体" w:eastAsia="黑体" w:cs="Times New Roman"/>
          <w:sz w:val="30"/>
          <w:szCs w:val="30"/>
        </w:rPr>
        <w:t>1：</w:t>
      </w:r>
    </w:p>
    <w:p>
      <w:pPr>
        <w:rPr>
          <w:rFonts w:hint="eastAsia" w:ascii="黑体" w:hAnsi="黑体" w:eastAsia="黑体" w:cs="Times New Roman"/>
          <w:sz w:val="30"/>
          <w:szCs w:val="30"/>
        </w:rPr>
      </w:pPr>
    </w:p>
    <w:p>
      <w:pPr>
        <w:jc w:val="center"/>
        <w:rPr>
          <w:rFonts w:ascii="方正小标宋简体" w:hAnsi="宋体" w:eastAsia="方正小标宋简体" w:cs="Times New Roman"/>
          <w:sz w:val="36"/>
          <w:szCs w:val="36"/>
        </w:rPr>
      </w:pPr>
      <w:bookmarkStart w:id="0" w:name="_GoBack"/>
      <w:r>
        <w:rPr>
          <w:rFonts w:hint="eastAsia" w:ascii="方正小标宋简体" w:hAnsi="黑体" w:eastAsia="方正小标宋简体" w:cs="Times New Roman"/>
          <w:sz w:val="36"/>
          <w:szCs w:val="36"/>
        </w:rPr>
        <w:t>2021年</w:t>
      </w:r>
      <w:r>
        <w:rPr>
          <w:rFonts w:hint="eastAsia" w:ascii="方正小标宋简体" w:hAnsi="宋体" w:eastAsia="方正小标宋简体" w:cs="Times New Roman"/>
          <w:sz w:val="36"/>
          <w:szCs w:val="36"/>
        </w:rPr>
        <w:t>电力企业工程造价管理架构体系及模式</w:t>
      </w:r>
    </w:p>
    <w:bookmarkEnd w:id="0"/>
    <w:p>
      <w:pPr>
        <w:spacing w:line="360" w:lineRule="auto"/>
        <w:rPr>
          <w:rFonts w:hint="eastAsia" w:ascii="仿宋_GB2312" w:hAnsi="仿宋" w:cs="Times New Roman"/>
          <w:sz w:val="28"/>
          <w:szCs w:val="28"/>
        </w:rPr>
      </w:pPr>
    </w:p>
    <w:p>
      <w:pPr>
        <w:spacing w:line="360" w:lineRule="auto"/>
        <w:rPr>
          <w:rFonts w:hint="eastAsia" w:ascii="仿宋_GB2312" w:hAnsi="仿宋" w:cs="Times New Roman"/>
          <w:sz w:val="28"/>
          <w:szCs w:val="28"/>
        </w:rPr>
      </w:pPr>
      <w:r>
        <w:rPr>
          <w:rFonts w:hint="eastAsia" w:ascii="仿宋_GB2312" w:hAnsi="仿宋" w:cs="Times New Roman"/>
          <w:sz w:val="28"/>
          <w:szCs w:val="28"/>
        </w:rPr>
        <w:t>企业名称：                    填写人：</w:t>
      </w:r>
    </w:p>
    <w:p>
      <w:pPr>
        <w:spacing w:line="360" w:lineRule="auto"/>
        <w:rPr>
          <w:rFonts w:hint="eastAsia" w:ascii="仿宋_GB2312" w:hAnsi="仿宋" w:cs="Times New Roman"/>
          <w:sz w:val="28"/>
          <w:szCs w:val="28"/>
        </w:rPr>
      </w:pPr>
      <w:r>
        <w:rPr>
          <w:rFonts w:hint="eastAsia" w:ascii="仿宋_GB2312" w:hAnsi="仿宋" w:cs="Times New Roman"/>
          <w:sz w:val="28"/>
          <w:szCs w:val="28"/>
        </w:rPr>
        <w:t xml:space="preserve">联系电话：                    邮 </w:t>
      </w:r>
      <w:r>
        <w:rPr>
          <w:rFonts w:ascii="仿宋_GB2312" w:hAnsi="仿宋" w:cs="Times New Roman"/>
          <w:sz w:val="28"/>
          <w:szCs w:val="28"/>
        </w:rPr>
        <w:t xml:space="preserve"> </w:t>
      </w:r>
      <w:r>
        <w:rPr>
          <w:rFonts w:hint="eastAsia" w:ascii="仿宋_GB2312" w:hAnsi="仿宋" w:cs="Times New Roman"/>
          <w:sz w:val="28"/>
          <w:szCs w:val="28"/>
        </w:rPr>
        <w:t>箱：</w:t>
      </w:r>
    </w:p>
    <w:p>
      <w:pPr>
        <w:rPr>
          <w:rFonts w:hint="eastAsia" w:ascii="仿宋_GB2312" w:hAnsi="仿宋" w:cs="Times New Roman"/>
          <w:sz w:val="28"/>
          <w:szCs w:val="28"/>
        </w:rPr>
      </w:pPr>
      <w:r>
        <w:rPr>
          <w:rFonts w:hint="eastAsia" w:ascii="仿宋_GB2312" w:hAnsi="仿宋" w:cs="Times New Roman"/>
          <w:sz w:val="28"/>
          <w:szCs w:val="28"/>
        </w:rPr>
        <w:t>企业类型：□ 业主单位  □ 设计单位 □ 施工单位  □ 监理单位</w:t>
      </w:r>
    </w:p>
    <w:p>
      <w:pPr>
        <w:spacing w:line="240" w:lineRule="auto"/>
        <w:ind w:firstLine="600" w:firstLineChars="200"/>
        <w:rPr>
          <w:rFonts w:ascii="黑体" w:hAnsi="黑体" w:eastAsia="黑体" w:cs="Times New Roman"/>
          <w:sz w:val="30"/>
          <w:szCs w:val="30"/>
        </w:rPr>
      </w:pPr>
    </w:p>
    <w:p>
      <w:pPr>
        <w:spacing w:line="240" w:lineRule="auto"/>
        <w:ind w:firstLine="640" w:firstLineChars="200"/>
        <w:rPr>
          <w:rFonts w:ascii="黑体" w:hAnsi="黑体" w:eastAsia="黑体" w:cs="Times New Roman"/>
          <w:szCs w:val="32"/>
        </w:rPr>
      </w:pPr>
      <w:r>
        <w:rPr>
          <w:rFonts w:hint="eastAsia" w:ascii="黑体" w:hAnsi="黑体" w:eastAsia="黑体" w:cs="Times New Roman"/>
          <w:szCs w:val="32"/>
        </w:rPr>
        <w:t>一、造价管理组织架构及职能定位</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重点介绍电力工程造价管理方面，本单位下设的相关组织机构名称及其职能作用，并介绍上述各机构或部门的专业人员配置情况，突出主要管理模式的特点。</w:t>
      </w:r>
    </w:p>
    <w:p>
      <w:pPr>
        <w:spacing w:line="240" w:lineRule="auto"/>
        <w:ind w:firstLine="640" w:firstLineChars="200"/>
        <w:rPr>
          <w:rFonts w:ascii="黑体" w:hAnsi="黑体" w:eastAsia="黑体" w:cs="Times New Roman"/>
          <w:szCs w:val="32"/>
        </w:rPr>
      </w:pPr>
      <w:r>
        <w:rPr>
          <w:rFonts w:hint="eastAsia" w:ascii="黑体" w:hAnsi="黑体" w:eastAsia="黑体" w:cs="Times New Roman"/>
          <w:szCs w:val="32"/>
        </w:rPr>
        <w:t>二、工程造价管理流程体系</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主要介绍本单位电力工程造价管理流程体系，概述其主要职责内容，阐述企业造价管理工作流程，突出各管理机构或相关岗位在造价管理流程体系中承担的职责及发挥的作用等。</w:t>
      </w:r>
    </w:p>
    <w:p>
      <w:pPr>
        <w:spacing w:line="240" w:lineRule="auto"/>
        <w:ind w:firstLine="640" w:firstLineChars="200"/>
        <w:rPr>
          <w:rFonts w:ascii="黑体" w:hAnsi="黑体" w:eastAsia="黑体" w:cs="Times New Roman"/>
          <w:szCs w:val="32"/>
        </w:rPr>
      </w:pPr>
      <w:r>
        <w:rPr>
          <w:rFonts w:hint="eastAsia" w:ascii="黑体" w:hAnsi="黑体" w:eastAsia="黑体" w:cs="Times New Roman"/>
          <w:szCs w:val="32"/>
        </w:rPr>
        <w:t>三、工程造价管理特色和亮点总结</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（一）从总体情况总结介绍本单位在造价管理方面架构体系、工作开展、技术方法、专项工作等方面的特色亮点情况。</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（二）从具体管控环节，如可研评审、概算预算评审、过程控制、决算管理、变更签证管理等方面介绍具体的特色亮点。</w:t>
      </w:r>
    </w:p>
    <w:p>
      <w:pPr>
        <w:spacing w:line="240" w:lineRule="auto"/>
        <w:ind w:firstLine="640" w:firstLineChars="200"/>
        <w:rPr>
          <w:rFonts w:hint="eastAsia" w:ascii="黑体" w:hAnsi="黑体" w:eastAsia="黑体" w:cs="Times New Roman"/>
          <w:szCs w:val="32"/>
        </w:rPr>
      </w:pPr>
      <w:r>
        <w:rPr>
          <w:rFonts w:hint="eastAsia" w:ascii="黑体" w:hAnsi="黑体" w:eastAsia="黑体" w:cs="Times New Roman"/>
          <w:szCs w:val="32"/>
        </w:rPr>
        <w:t>四、工程造价管理制度和标准统计表</w:t>
      </w:r>
    </w:p>
    <w:p>
      <w:pPr>
        <w:wordWrap w:val="0"/>
        <w:topLinePunct/>
        <w:spacing w:line="620" w:lineRule="exact"/>
        <w:ind w:firstLine="640" w:firstLineChars="200"/>
        <w:rPr>
          <w:rFonts w:hint="eastAsia" w:ascii="仿宋" w:hAnsi="仿宋" w:eastAsia="仿宋" w:cs="仿宋"/>
          <w:bCs/>
          <w:caps/>
          <w:sz w:val="30"/>
          <w:szCs w:val="30"/>
        </w:rPr>
      </w:pPr>
      <w:r>
        <w:rPr>
          <w:rFonts w:hint="eastAsia" w:ascii="仿宋_GB2312" w:hAnsi="仿宋" w:cs="仿宋"/>
          <w:bCs/>
          <w:caps/>
          <w:szCs w:val="32"/>
        </w:rPr>
        <w:t>提供本单位工程造价管理相关制度规范、标准依据统计表。</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DAD8CB"/>
    <w:multiLevelType w:val="singleLevel"/>
    <w:tmpl w:val="9FDAD8CB"/>
    <w:lvl w:ilvl="0" w:tentative="0">
      <w:start w:val="1"/>
      <w:numFmt w:val="decimal"/>
      <w:pStyle w:val="12"/>
      <w:lvlText w:val="%1."/>
      <w:lvlJc w:val="left"/>
      <w:pPr>
        <w:ind w:left="425" w:hanging="425"/>
      </w:pPr>
      <w:rPr>
        <w:rFonts w:hint="default"/>
      </w:rPr>
    </w:lvl>
  </w:abstractNum>
  <w:abstractNum w:abstractNumId="1">
    <w:nsid w:val="05AA1CBB"/>
    <w:multiLevelType w:val="singleLevel"/>
    <w:tmpl w:val="05AA1CBB"/>
    <w:lvl w:ilvl="0" w:tentative="0">
      <w:start w:val="1"/>
      <w:numFmt w:val="decimal"/>
      <w:pStyle w:val="13"/>
      <w:lvlText w:val="%1."/>
      <w:lvlJc w:val="left"/>
      <w:pPr>
        <w:ind w:left="425" w:hanging="425"/>
      </w:pPr>
      <w:rPr>
        <w:rFonts w:hint="default"/>
      </w:rPr>
    </w:lvl>
  </w:abstractNum>
  <w:abstractNum w:abstractNumId="2">
    <w:nsid w:val="69A1F030"/>
    <w:multiLevelType w:val="singleLevel"/>
    <w:tmpl w:val="69A1F030"/>
    <w:lvl w:ilvl="0" w:tentative="0">
      <w:start w:val="4"/>
      <w:numFmt w:val="chineseCounting"/>
      <w:pStyle w:val="11"/>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35337E"/>
    <w:rsid w:val="112F3D87"/>
    <w:rsid w:val="197D0E14"/>
    <w:rsid w:val="2335337E"/>
    <w:rsid w:val="23A94AB1"/>
    <w:rsid w:val="594B4592"/>
    <w:rsid w:val="661903F6"/>
    <w:rsid w:val="78BD65FB"/>
    <w:rsid w:val="7AC03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lang w:val="en-US" w:eastAsia="zh-CN" w:bidi="ar-SA"/>
    </w:rPr>
  </w:style>
  <w:style w:type="paragraph" w:styleId="2">
    <w:name w:val="heading 4"/>
    <w:basedOn w:val="1"/>
    <w:next w:val="1"/>
    <w:link w:val="7"/>
    <w:semiHidden/>
    <w:unhideWhenUsed/>
    <w:qFormat/>
    <w:uiPriority w:val="0"/>
    <w:pPr>
      <w:keepNext/>
      <w:keepLines/>
      <w:spacing w:before="280" w:beforeLines="0" w:beforeAutospacing="0" w:after="290" w:afterLines="0" w:afterAutospacing="0" w:line="372" w:lineRule="auto"/>
      <w:outlineLvl w:val="3"/>
    </w:pPr>
    <w:rPr>
      <w:rFonts w:ascii="Arial" w:hAnsi="Arial" w:eastAsia="黑体"/>
      <w:sz w:val="32"/>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customStyle="1" w:styleId="7">
    <w:name w:val="标题 4 Char"/>
    <w:link w:val="2"/>
    <w:qFormat/>
    <w:uiPriority w:val="0"/>
    <w:rPr>
      <w:rFonts w:ascii="Arial" w:hAnsi="Arial" w:eastAsia="黑体"/>
      <w:sz w:val="32"/>
      <w:szCs w:val="22"/>
    </w:rPr>
  </w:style>
  <w:style w:type="paragraph" w:customStyle="1" w:styleId="8">
    <w:name w:val="我的正文"/>
    <w:basedOn w:val="3"/>
    <w:next w:val="4"/>
    <w:link w:val="9"/>
    <w:qFormat/>
    <w:uiPriority w:val="0"/>
    <w:pPr>
      <w:widowControl/>
      <w:shd w:val="clear" w:color="auto" w:fill="FFFFFF"/>
      <w:tabs>
        <w:tab w:val="left" w:pos="2363"/>
      </w:tabs>
      <w:spacing w:line="240" w:lineRule="atLeast"/>
      <w:ind w:firstLine="480" w:firstLineChars="200"/>
      <w:jc w:val="left"/>
      <w:outlineLvl w:val="1"/>
    </w:pPr>
    <w:rPr>
      <w:rFonts w:hint="eastAsia" w:ascii="仿宋" w:hAnsi="仿宋" w:eastAsia="仿宋" w:cs="黑体"/>
      <w:color w:val="000000" w:themeColor="text1"/>
      <w:kern w:val="0"/>
      <w:sz w:val="30"/>
      <w:szCs w:val="36"/>
      <w:lang w:val="zh-CN" w:bidi="zh-CN"/>
      <w14:textFill>
        <w14:solidFill>
          <w14:schemeClr w14:val="tx1"/>
        </w14:solidFill>
      </w14:textFill>
    </w:rPr>
  </w:style>
  <w:style w:type="character" w:customStyle="1" w:styleId="9">
    <w:name w:val="我的正文 Char"/>
    <w:link w:val="8"/>
    <w:uiPriority w:val="0"/>
    <w:rPr>
      <w:rFonts w:hint="eastAsia" w:ascii="仿宋" w:hAnsi="仿宋" w:eastAsia="仿宋" w:cs="黑体"/>
      <w:color w:val="000000" w:themeColor="text1"/>
      <w:kern w:val="0"/>
      <w:sz w:val="30"/>
      <w:szCs w:val="36"/>
      <w:lang w:val="zh-CN" w:bidi="zh-CN"/>
      <w14:textFill>
        <w14:solidFill>
          <w14:schemeClr w14:val="tx1"/>
        </w14:solidFill>
      </w14:textFill>
    </w:rPr>
  </w:style>
  <w:style w:type="paragraph" w:customStyle="1" w:styleId="10">
    <w:name w:val="图片居中样式"/>
    <w:basedOn w:val="1"/>
    <w:uiPriority w:val="0"/>
    <w:pPr>
      <w:widowControl/>
      <w:shd w:val="clear" w:color="auto" w:fill="FFFFFF"/>
      <w:ind w:firstLine="0" w:firstLineChars="0"/>
      <w:jc w:val="center"/>
    </w:pPr>
    <w:rPr>
      <w:rFonts w:ascii="Calibri" w:hAnsi="Calibri" w:eastAsia="宋体" w:cs="Times New Roman"/>
      <w:kern w:val="0"/>
      <w:sz w:val="24"/>
      <w:lang w:bidi="ar"/>
    </w:rPr>
  </w:style>
  <w:style w:type="paragraph" w:customStyle="1" w:styleId="11">
    <w:name w:val="样式1"/>
    <w:basedOn w:val="1"/>
    <w:next w:val="1"/>
    <w:qFormat/>
    <w:uiPriority w:val="0"/>
    <w:pPr>
      <w:keepNext/>
      <w:keepLines/>
      <w:numPr>
        <w:ilvl w:val="0"/>
        <w:numId w:val="1"/>
      </w:numPr>
      <w:spacing w:before="260" w:after="260" w:line="416" w:lineRule="auto"/>
      <w:outlineLvl w:val="2"/>
    </w:pPr>
    <w:rPr>
      <w:rFonts w:hint="default" w:asciiTheme="minorAscii" w:hAnsiTheme="minorAscii"/>
      <w:b/>
      <w:bCs/>
      <w:sz w:val="24"/>
    </w:rPr>
  </w:style>
  <w:style w:type="paragraph" w:customStyle="1" w:styleId="12">
    <w:name w:val="样式2"/>
    <w:basedOn w:val="1"/>
    <w:next w:val="1"/>
    <w:qFormat/>
    <w:uiPriority w:val="0"/>
    <w:pPr>
      <w:keepNext/>
      <w:keepLines/>
      <w:numPr>
        <w:ilvl w:val="0"/>
        <w:numId w:val="2"/>
      </w:numPr>
      <w:spacing w:before="260" w:beforeLines="0" w:after="260" w:afterLines="0" w:line="415" w:lineRule="auto"/>
      <w:ind w:hanging="425"/>
      <w:jc w:val="left"/>
      <w:outlineLvl w:val="1"/>
    </w:pPr>
    <w:rPr>
      <w:rFonts w:hint="eastAsia" w:ascii="Cambria" w:hAnsi="Cambria" w:eastAsia="宋体" w:cs="Times New Roman"/>
      <w:b/>
      <w:bCs/>
      <w:sz w:val="28"/>
      <w:szCs w:val="28"/>
    </w:rPr>
  </w:style>
  <w:style w:type="paragraph" w:customStyle="1" w:styleId="13">
    <w:name w:val="标题1"/>
    <w:basedOn w:val="1"/>
    <w:uiPriority w:val="0"/>
    <w:pPr>
      <w:keepNext/>
      <w:keepLines/>
      <w:numPr>
        <w:ilvl w:val="0"/>
        <w:numId w:val="3"/>
      </w:numPr>
      <w:spacing w:line="360" w:lineRule="auto"/>
      <w:ind w:left="425" w:hanging="425"/>
      <w:outlineLvl w:val="2"/>
    </w:pPr>
    <w:rPr>
      <w:rFonts w:hint="eastAsia" w:ascii="宋体" w:hAnsi="宋体" w:eastAsia="宋体" w:cs="宋体"/>
      <w:szCs w:val="21"/>
    </w:rPr>
  </w:style>
  <w:style w:type="paragraph" w:customStyle="1" w:styleId="1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2022-04-13T03:17:00Z</dcterms:created>
  <dc:creator>轻轻来了</dc:creator>
  <cp:lastModifiedBy>轻轻来了</cp:lastModifiedBy>
  <dcterms:modified xsi:type="dcterms:W3CDTF">2022-04-13T03:18:22Z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9B0744227FCF4FBAB53768EC7D8896E9</vt:lpwstr>
  </property>
</Properties>
</file>